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F0631" w14:textId="769666CE" w:rsidR="00AF77BF" w:rsidRDefault="00AF77BF" w:rsidP="005C0B7F">
      <w:pPr>
        <w:pStyle w:val="afd"/>
        <w:ind w:firstLine="643"/>
      </w:pPr>
      <w:bookmarkStart w:id="0" w:name="_Toc132427611"/>
      <w:bookmarkStart w:id="1" w:name="_Toc137458466"/>
      <w:bookmarkStart w:id="2" w:name="_Toc181756517"/>
      <w:bookmarkStart w:id="3" w:name="_Toc197182360"/>
      <w:bookmarkStart w:id="4" w:name="_Toc197783442"/>
      <w:bookmarkStart w:id="5" w:name="_Toc211047331"/>
      <w:bookmarkStart w:id="6" w:name="_Toc213577484"/>
      <w:bookmarkStart w:id="7" w:name="_Toc213724233"/>
      <w:r>
        <w:rPr>
          <w:rFonts w:hint="eastAsia"/>
        </w:rPr>
        <w:t>团体标准《</w:t>
      </w:r>
      <w:r w:rsidR="005C0B7F" w:rsidRPr="005C0B7F">
        <w:t>冻干巧克力及巧克力制品</w:t>
      </w:r>
      <w:r>
        <w:rPr>
          <w:rFonts w:hint="eastAsia"/>
        </w:rPr>
        <w:t>》编制说明</w:t>
      </w:r>
    </w:p>
    <w:bookmarkEnd w:id="0"/>
    <w:bookmarkEnd w:id="1"/>
    <w:bookmarkEnd w:id="2"/>
    <w:bookmarkEnd w:id="3"/>
    <w:bookmarkEnd w:id="4"/>
    <w:bookmarkEnd w:id="5"/>
    <w:bookmarkEnd w:id="6"/>
    <w:bookmarkEnd w:id="7"/>
    <w:p w14:paraId="379D4E7B" w14:textId="7BD5CC9C" w:rsidR="00A42172" w:rsidRPr="005C0B7F" w:rsidRDefault="005C0B7F" w:rsidP="005C0B7F">
      <w:pPr>
        <w:pStyle w:val="1"/>
      </w:pPr>
      <w:r w:rsidRPr="005C0B7F">
        <w:t>工作简况</w:t>
      </w:r>
    </w:p>
    <w:p w14:paraId="31FA79BE" w14:textId="71AC674C" w:rsidR="005C0B7F" w:rsidRPr="005C0B7F" w:rsidRDefault="005C0B7F" w:rsidP="005C0B7F">
      <w:pPr>
        <w:pStyle w:val="2"/>
        <w:ind w:firstLine="562"/>
      </w:pPr>
      <w:bookmarkStart w:id="8" w:name="_Toc211047333"/>
      <w:bookmarkStart w:id="9" w:name="_Toc181756518"/>
      <w:bookmarkStart w:id="10" w:name="_Toc197182361"/>
      <w:bookmarkStart w:id="11" w:name="_Toc197783443"/>
      <w:bookmarkStart w:id="12" w:name="_Toc211047332"/>
      <w:bookmarkStart w:id="13" w:name="_Hlk175744952"/>
      <w:r w:rsidRPr="005C0B7F">
        <w:t xml:space="preserve">1.1 </w:t>
      </w:r>
      <w:r w:rsidRPr="005C0B7F">
        <w:t>任务来源</w:t>
      </w:r>
    </w:p>
    <w:bookmarkEnd w:id="13"/>
    <w:p w14:paraId="08CA5D01" w14:textId="0C4FDF21" w:rsidR="005C0B7F" w:rsidRDefault="005C0B7F" w:rsidP="005C0B7F">
      <w:pPr>
        <w:ind w:firstLine="480"/>
      </w:pPr>
      <w:r w:rsidRPr="005C0B7F">
        <w:t>2026</w:t>
      </w:r>
      <w:r w:rsidRPr="005C0B7F">
        <w:t>年</w:t>
      </w:r>
      <w:r w:rsidRPr="005C0B7F">
        <w:t>6</w:t>
      </w:r>
      <w:r w:rsidRPr="005C0B7F">
        <w:t>月</w:t>
      </w:r>
      <w:r w:rsidRPr="005C0B7F">
        <w:t>1</w:t>
      </w:r>
      <w:r w:rsidRPr="005C0B7F">
        <w:t>日，由上海每日黑巧企业发展有限公司申请《冻干巧克力及巧克力制品》团体标准的立项，上海</w:t>
      </w:r>
      <w:r>
        <w:rPr>
          <w:rFonts w:hint="eastAsia"/>
        </w:rPr>
        <w:t>市</w:t>
      </w:r>
      <w:r w:rsidRPr="005C0B7F">
        <w:t>食品学会于</w:t>
      </w:r>
      <w:r w:rsidRPr="005C0B7F">
        <w:t>2026</w:t>
      </w:r>
      <w:r w:rsidRPr="005C0B7F">
        <w:t>年</w:t>
      </w:r>
      <w:r w:rsidRPr="005C0B7F">
        <w:t>6</w:t>
      </w:r>
      <w:r w:rsidRPr="005C0B7F">
        <w:t>月</w:t>
      </w:r>
      <w:r w:rsidRPr="005C0B7F">
        <w:t>15</w:t>
      </w:r>
      <w:r w:rsidRPr="005C0B7F">
        <w:t>日</w:t>
      </w:r>
      <w:r>
        <w:rPr>
          <w:rFonts w:hint="eastAsia"/>
        </w:rPr>
        <w:t>批准</w:t>
      </w:r>
      <w:r w:rsidRPr="005C0B7F">
        <w:t>立项。</w:t>
      </w:r>
    </w:p>
    <w:p w14:paraId="7264A822" w14:textId="73761E6A" w:rsidR="005C0B7F" w:rsidRPr="005C0B7F" w:rsidRDefault="005C0B7F" w:rsidP="005C0B7F">
      <w:pPr>
        <w:pStyle w:val="2"/>
        <w:ind w:firstLine="562"/>
      </w:pPr>
      <w:r w:rsidRPr="005C0B7F">
        <w:t xml:space="preserve">1.2 </w:t>
      </w:r>
      <w:r w:rsidRPr="005C0B7F">
        <w:t>起草单位及主要起草人</w:t>
      </w:r>
    </w:p>
    <w:p w14:paraId="1A9321D5" w14:textId="77777777" w:rsidR="005C0B7F" w:rsidRPr="005C0B7F" w:rsidRDefault="005C0B7F" w:rsidP="005C0B7F">
      <w:pPr>
        <w:ind w:firstLine="480"/>
        <w:rPr>
          <w:rFonts w:hint="eastAsia"/>
        </w:rPr>
      </w:pPr>
      <w:r w:rsidRPr="005C0B7F">
        <w:rPr>
          <w:rFonts w:hint="eastAsia"/>
        </w:rPr>
        <w:t>本标准由上海市食品学会提出并归口。</w:t>
      </w:r>
    </w:p>
    <w:p w14:paraId="19859710" w14:textId="49BCDB5D" w:rsidR="005C0B7F" w:rsidRDefault="005C0B7F" w:rsidP="005C0B7F">
      <w:pPr>
        <w:ind w:firstLine="480"/>
        <w:rPr>
          <w:rFonts w:hint="eastAsia"/>
        </w:rPr>
      </w:pPr>
      <w:r>
        <w:rPr>
          <w:rFonts w:hint="eastAsia"/>
        </w:rPr>
        <w:t>本标准起草单位：</w:t>
      </w:r>
    </w:p>
    <w:p w14:paraId="2BDE7F98" w14:textId="6D385CE5" w:rsidR="005C0B7F" w:rsidRPr="005C0B7F" w:rsidRDefault="005C0B7F" w:rsidP="005C0B7F">
      <w:pPr>
        <w:ind w:firstLine="480"/>
        <w:rPr>
          <w:rFonts w:hint="eastAsia"/>
        </w:rPr>
      </w:pPr>
      <w:r>
        <w:rPr>
          <w:rFonts w:hint="eastAsia"/>
        </w:rPr>
        <w:t>本标准主要起草人：</w:t>
      </w:r>
    </w:p>
    <w:p w14:paraId="62565210" w14:textId="77777777" w:rsidR="005C0B7F" w:rsidRDefault="005C0B7F" w:rsidP="005C0B7F">
      <w:pPr>
        <w:pStyle w:val="1"/>
      </w:pPr>
      <w:bookmarkStart w:id="14" w:name="_Toc211047337"/>
      <w:bookmarkStart w:id="15" w:name="_Toc213577488"/>
      <w:bookmarkStart w:id="16" w:name="_Toc213724237"/>
      <w:bookmarkStart w:id="17" w:name="_Toc181756522"/>
      <w:bookmarkEnd w:id="8"/>
      <w:bookmarkEnd w:id="9"/>
      <w:bookmarkEnd w:id="10"/>
      <w:bookmarkEnd w:id="11"/>
      <w:bookmarkEnd w:id="12"/>
      <w:r w:rsidRPr="005C0B7F">
        <w:t>制定标准的必要性和意义</w:t>
      </w:r>
    </w:p>
    <w:p w14:paraId="1301F42D" w14:textId="77777777" w:rsidR="005C0B7F" w:rsidRDefault="005C0B7F" w:rsidP="005C0B7F">
      <w:pPr>
        <w:ind w:firstLine="480"/>
        <w:rPr>
          <w:rFonts w:hint="eastAsia"/>
        </w:rPr>
      </w:pPr>
      <w:r>
        <w:rPr>
          <w:rFonts w:hint="eastAsia"/>
        </w:rPr>
        <w:t>随着食品工业技术的迭代与消费升级，冻干巧克力凭借其独特的酥脆口感与风味保留优势，迅速成为休闲零食市场的新宠。然而，作为一个融合了传统巧克力工艺与现代真空冷冻干燥技术的新兴品类，其市场爆发式增长与标准体系滞后的矛盾日益凸显。</w:t>
      </w:r>
    </w:p>
    <w:p w14:paraId="4D0111DA" w14:textId="77777777" w:rsidR="005C0B7F" w:rsidRDefault="005C0B7F" w:rsidP="005C0B7F">
      <w:pPr>
        <w:ind w:firstLine="480"/>
        <w:rPr>
          <w:rFonts w:hint="eastAsia"/>
        </w:rPr>
      </w:pPr>
      <w:r>
        <w:rPr>
          <w:rFonts w:hint="eastAsia"/>
        </w:rPr>
        <w:t>目前，国内尚无专门针对“冻干巧克力”的国家标准或行业标准。虽然《食品安全国家标准</w:t>
      </w:r>
      <w:r>
        <w:rPr>
          <w:rFonts w:hint="eastAsia"/>
        </w:rPr>
        <w:t xml:space="preserve"> </w:t>
      </w:r>
      <w:r>
        <w:rPr>
          <w:rFonts w:hint="eastAsia"/>
        </w:rPr>
        <w:t>巧克力、代可可脂巧克力及其制品》等标准涵盖了基础原料要求，但冻干巧克力在生产工序上增加了冷冻干燥等关键环节，工艺带来的多孔疏松结构、酥脆口感等特性，使产品特性与传统巧克力存在显著差异，使得原有的国标无法完全覆盖其质量评价。制定专门针对冻干巧克力的标准，不仅是填补行业空白的迫切需求，更是推动产业从“野蛮生长”向“高质量发展”转型的关键举措。</w:t>
      </w:r>
    </w:p>
    <w:p w14:paraId="61DC280C" w14:textId="3D16B82E" w:rsidR="005C0B7F" w:rsidRDefault="005C0B7F" w:rsidP="005C0B7F">
      <w:pPr>
        <w:ind w:firstLine="480"/>
      </w:pPr>
      <w:r>
        <w:rPr>
          <w:rFonts w:hint="eastAsia"/>
        </w:rPr>
        <w:t>该团体标准的制定将明确“冻干巧克力”的术语定义和专属技术要求，旨在填补冻干巧克力标准空白，为这一新兴品类的生产、检验和销售提供了统一的依据，助于生产企业优化工艺、控制质量，有效避免了市场概念的混淆，也能为冻干巧克力市场的快速发展起到规范产品生产、保障质量安全的作用，标准的实施还能为行业提供有效的标准支撑，也能行业引领作用，提升行业整体水平，也将有为消费者提供更安全优质的产品，推动冻干巧克力行业健康有序发展。</w:t>
      </w:r>
    </w:p>
    <w:p w14:paraId="625BE5F9" w14:textId="4206EEBB" w:rsidR="005C0B7F" w:rsidRDefault="005C0B7F" w:rsidP="005C0B7F">
      <w:pPr>
        <w:pStyle w:val="1"/>
      </w:pPr>
      <w:r>
        <w:rPr>
          <w:rFonts w:hint="eastAsia"/>
        </w:rPr>
        <w:t>主要起草过程</w:t>
      </w:r>
    </w:p>
    <w:p w14:paraId="779275D8" w14:textId="568863FF" w:rsidR="005C0B7F" w:rsidRDefault="005C0B7F" w:rsidP="005C0B7F">
      <w:pPr>
        <w:ind w:firstLine="480"/>
        <w:rPr>
          <w:rFonts w:hint="eastAsia"/>
        </w:rPr>
      </w:pPr>
      <w:r>
        <w:rPr>
          <w:rFonts w:hint="eastAsia"/>
        </w:rPr>
        <w:t>2026</w:t>
      </w:r>
      <w:r>
        <w:rPr>
          <w:rFonts w:hint="eastAsia"/>
        </w:rPr>
        <w:t>年</w:t>
      </w:r>
      <w:r>
        <w:rPr>
          <w:rFonts w:hint="eastAsia"/>
        </w:rPr>
        <w:t>6</w:t>
      </w:r>
      <w:r>
        <w:rPr>
          <w:rFonts w:hint="eastAsia"/>
        </w:rPr>
        <w:t>月</w:t>
      </w:r>
      <w:r>
        <w:rPr>
          <w:rFonts w:hint="eastAsia"/>
        </w:rPr>
        <w:t>18</w:t>
      </w:r>
      <w:r>
        <w:rPr>
          <w:rFonts w:hint="eastAsia"/>
        </w:rPr>
        <w:t>日，在</w:t>
      </w:r>
      <w:r>
        <w:rPr>
          <w:rFonts w:hint="eastAsia"/>
        </w:rPr>
        <w:t>上海市食品学会</w:t>
      </w:r>
      <w:r>
        <w:rPr>
          <w:rFonts w:hint="eastAsia"/>
        </w:rPr>
        <w:t>的组织下成立了每日黑巧、上海</w:t>
      </w:r>
      <w:r>
        <w:rPr>
          <w:rFonts w:hint="eastAsia"/>
        </w:rPr>
        <w:t>市</w:t>
      </w:r>
      <w:r>
        <w:rPr>
          <w:rFonts w:hint="eastAsia"/>
        </w:rPr>
        <w:t>食品研究所等单位在内的标准工作组，召开第一次工作组会议，会上对该团标的概况进行了讨论，并进行了起草组工作分工。工作内容包括标准文本的撰写、标准数据和资料的搜集、相关指标的检测等。</w:t>
      </w:r>
    </w:p>
    <w:p w14:paraId="48BFD9D4" w14:textId="77777777" w:rsidR="005C0B7F" w:rsidRDefault="005C0B7F" w:rsidP="005C0B7F">
      <w:pPr>
        <w:ind w:firstLine="480"/>
        <w:rPr>
          <w:rFonts w:hint="eastAsia"/>
        </w:rPr>
      </w:pPr>
      <w:r>
        <w:rPr>
          <w:rFonts w:hint="eastAsia"/>
        </w:rPr>
        <w:t>2026</w:t>
      </w:r>
      <w:r>
        <w:rPr>
          <w:rFonts w:hint="eastAsia"/>
        </w:rPr>
        <w:t>年</w:t>
      </w:r>
      <w:r>
        <w:rPr>
          <w:rFonts w:hint="eastAsia"/>
        </w:rPr>
        <w:t>6</w:t>
      </w:r>
      <w:r>
        <w:rPr>
          <w:rFonts w:hint="eastAsia"/>
        </w:rPr>
        <w:t>月</w:t>
      </w:r>
      <w:r>
        <w:rPr>
          <w:rFonts w:hint="eastAsia"/>
        </w:rPr>
        <w:t>25</w:t>
      </w:r>
      <w:r>
        <w:rPr>
          <w:rFonts w:hint="eastAsia"/>
        </w:rPr>
        <w:t>日，召开标准工作第一次组线上会议，对标准中设定的指标进行讨论，对标准中的非可可植物油添加量、添加的冻干及冻</w:t>
      </w:r>
      <w:r>
        <w:rPr>
          <w:rFonts w:hint="eastAsia"/>
        </w:rPr>
        <w:t>/</w:t>
      </w:r>
      <w:r>
        <w:rPr>
          <w:rFonts w:hint="eastAsia"/>
        </w:rPr>
        <w:t>鲜水果类原料的微生物控制、添加活性益生菌原料的菌落总数规定等进行了讨论，会后生产企业将会针对会上的问题进行实际核实。</w:t>
      </w:r>
    </w:p>
    <w:p w14:paraId="03146553" w14:textId="77777777" w:rsidR="005C0B7F" w:rsidRDefault="005C0B7F" w:rsidP="005C0B7F">
      <w:pPr>
        <w:ind w:firstLine="480"/>
        <w:rPr>
          <w:rFonts w:hint="eastAsia"/>
        </w:rPr>
      </w:pPr>
      <w:r>
        <w:rPr>
          <w:rFonts w:hint="eastAsia"/>
        </w:rPr>
        <w:t>2026</w:t>
      </w:r>
      <w:r>
        <w:rPr>
          <w:rFonts w:hint="eastAsia"/>
        </w:rPr>
        <w:t>年</w:t>
      </w:r>
      <w:r>
        <w:rPr>
          <w:rFonts w:hint="eastAsia"/>
        </w:rPr>
        <w:t>7</w:t>
      </w:r>
      <w:r>
        <w:rPr>
          <w:rFonts w:hint="eastAsia"/>
        </w:rPr>
        <w:t>月</w:t>
      </w:r>
      <w:r>
        <w:rPr>
          <w:rFonts w:hint="eastAsia"/>
        </w:rPr>
        <w:t>17</w:t>
      </w:r>
      <w:r>
        <w:rPr>
          <w:rFonts w:hint="eastAsia"/>
        </w:rPr>
        <w:t>日，召开标准工作组第二次线上会议。与会成员逐条对标准条款进行</w:t>
      </w:r>
      <w:r>
        <w:rPr>
          <w:rFonts w:hint="eastAsia"/>
        </w:rPr>
        <w:lastRenderedPageBreak/>
        <w:t>讨论，对术语和基本原则进行了调整，其他指标进行了确定。</w:t>
      </w:r>
    </w:p>
    <w:p w14:paraId="407FC352" w14:textId="77777777" w:rsidR="005C0B7F" w:rsidRDefault="005C0B7F" w:rsidP="005C0B7F">
      <w:pPr>
        <w:ind w:firstLine="480"/>
        <w:rPr>
          <w:rFonts w:hint="eastAsia"/>
        </w:rPr>
      </w:pPr>
      <w:r>
        <w:rPr>
          <w:rFonts w:hint="eastAsia"/>
        </w:rPr>
        <w:t>2026</w:t>
      </w:r>
      <w:r>
        <w:rPr>
          <w:rFonts w:hint="eastAsia"/>
        </w:rPr>
        <w:t>年</w:t>
      </w:r>
      <w:r>
        <w:rPr>
          <w:rFonts w:hint="eastAsia"/>
        </w:rPr>
        <w:t>8</w:t>
      </w:r>
      <w:r>
        <w:rPr>
          <w:rFonts w:hint="eastAsia"/>
        </w:rPr>
        <w:t>月</w:t>
      </w:r>
      <w:r>
        <w:rPr>
          <w:rFonts w:hint="eastAsia"/>
        </w:rPr>
        <w:t>19</w:t>
      </w:r>
      <w:r>
        <w:rPr>
          <w:rFonts w:hint="eastAsia"/>
        </w:rPr>
        <w:t>日，召开线上、线下结合的工作组讨论会，玛氏加入讨论，完善了冻干巧克力的术语表述。删除了</w:t>
      </w:r>
      <w:r>
        <w:rPr>
          <w:rFonts w:hint="eastAsia"/>
        </w:rPr>
        <w:t>4.1</w:t>
      </w:r>
      <w:r>
        <w:rPr>
          <w:rFonts w:hint="eastAsia"/>
        </w:rPr>
        <w:t>部分表述，删除了</w:t>
      </w:r>
      <w:r>
        <w:rPr>
          <w:rFonts w:hint="eastAsia"/>
        </w:rPr>
        <w:t>4.3</w:t>
      </w:r>
      <w:r>
        <w:rPr>
          <w:rFonts w:hint="eastAsia"/>
        </w:rPr>
        <w:t>条款。对感官的表述进一步修订，建议删除“镉”指标，增加“大肠菌群”指标。</w:t>
      </w:r>
      <w:r>
        <w:rPr>
          <w:rFonts w:hint="eastAsia"/>
        </w:rPr>
        <w:t>8.1.2</w:t>
      </w:r>
      <w:r>
        <w:rPr>
          <w:rFonts w:hint="eastAsia"/>
        </w:rPr>
        <w:t>产品名称的表述更具体，满足巧克力国标要求，也满足冻干巧克力的特性表述。对于非可可植物油添加量的规定上限以及是否整体冻干，需进行进一步讨论和协商。</w:t>
      </w:r>
    </w:p>
    <w:p w14:paraId="0074F40A" w14:textId="77777777" w:rsidR="005C0B7F" w:rsidRDefault="005C0B7F" w:rsidP="005C0B7F">
      <w:pPr>
        <w:ind w:firstLine="480"/>
        <w:rPr>
          <w:rFonts w:hint="eastAsia"/>
        </w:rPr>
      </w:pPr>
      <w:r>
        <w:rPr>
          <w:rFonts w:hint="eastAsia"/>
        </w:rPr>
        <w:t>2026</w:t>
      </w:r>
      <w:r>
        <w:rPr>
          <w:rFonts w:hint="eastAsia"/>
        </w:rPr>
        <w:t>年</w:t>
      </w:r>
      <w:r>
        <w:rPr>
          <w:rFonts w:hint="eastAsia"/>
        </w:rPr>
        <w:t>10</w:t>
      </w:r>
      <w:r>
        <w:rPr>
          <w:rFonts w:hint="eastAsia"/>
        </w:rPr>
        <w:t>月</w:t>
      </w:r>
      <w:r>
        <w:rPr>
          <w:rFonts w:hint="eastAsia"/>
        </w:rPr>
        <w:t>15</w:t>
      </w:r>
      <w:r>
        <w:rPr>
          <w:rFonts w:hint="eastAsia"/>
        </w:rPr>
        <w:t>日，召开第四次线上工作组讨论会议。展开对冻干巧克力制品中可可脂、总可可固形物、非脂可可固形物、总乳固形物以及巧冻干巧克力制品中巧克力的质量分数指标按照不同产品进行分类基本达成一致，对水分和酸价指标也基本达成一致。基于巧克力本身的风险程度低，还是不增加“大肠菌群”指标。并细化了产品名称的标识内容。对感官描述也进行了统一。</w:t>
      </w:r>
    </w:p>
    <w:p w14:paraId="2C033476" w14:textId="21C2E68C" w:rsidR="005C0B7F" w:rsidRPr="005C0B7F" w:rsidRDefault="005C0B7F" w:rsidP="005C0B7F">
      <w:pPr>
        <w:ind w:firstLine="480"/>
        <w:rPr>
          <w:rFonts w:hint="eastAsia"/>
        </w:rPr>
      </w:pPr>
      <w:r>
        <w:rPr>
          <w:rFonts w:hint="eastAsia"/>
        </w:rPr>
        <w:t>2026</w:t>
      </w:r>
      <w:r>
        <w:rPr>
          <w:rFonts w:hint="eastAsia"/>
        </w:rPr>
        <w:t>年</w:t>
      </w:r>
      <w:r>
        <w:rPr>
          <w:rFonts w:hint="eastAsia"/>
        </w:rPr>
        <w:t>10</w:t>
      </w:r>
      <w:r>
        <w:rPr>
          <w:rFonts w:hint="eastAsia"/>
        </w:rPr>
        <w:t>月，工作组根据讨论结果形成了征求意见稿。</w:t>
      </w:r>
    </w:p>
    <w:bookmarkEnd w:id="14"/>
    <w:bookmarkEnd w:id="15"/>
    <w:bookmarkEnd w:id="16"/>
    <w:bookmarkEnd w:id="17"/>
    <w:p w14:paraId="2CF84D20" w14:textId="77777777" w:rsidR="005C0B7F" w:rsidRDefault="005C0B7F" w:rsidP="005C0B7F">
      <w:pPr>
        <w:pStyle w:val="1"/>
      </w:pPr>
      <w:r>
        <w:t>标准编制原则与主要内容的依据</w:t>
      </w:r>
    </w:p>
    <w:p w14:paraId="61F8F3CD" w14:textId="4E350A08" w:rsidR="00FF196D" w:rsidRDefault="005C0B7F" w:rsidP="00151B7A">
      <w:pPr>
        <w:ind w:firstLine="480"/>
      </w:pPr>
      <w:r w:rsidRPr="005C0B7F">
        <w:t>针对冻干工艺的特殊性，标准在国标基础上增设了更具针对性的指标，直接提升了行业的品质与安全底线该标准在参考国内外相关研究及现有巧克力标准基础上，结合实验数据分析、行业调研结果和专家意见，设定了涵盖感官指标（如色泽、滋味与气味、形态）、特性指标（新增过氧化值和水分等）以及卫生指标（比国标新增菌落总数等）的多项指标体系。</w:t>
      </w:r>
    </w:p>
    <w:p w14:paraId="03AE07CE" w14:textId="78FD6E8E" w:rsidR="002A13BC" w:rsidRDefault="002A13BC" w:rsidP="002A13BC">
      <w:pPr>
        <w:pStyle w:val="2"/>
        <w:ind w:firstLine="562"/>
      </w:pPr>
      <w:r>
        <w:rPr>
          <w:rFonts w:hint="eastAsia"/>
        </w:rPr>
        <w:t xml:space="preserve">4.1 </w:t>
      </w:r>
      <w:r>
        <w:rPr>
          <w:rFonts w:hint="eastAsia"/>
        </w:rPr>
        <w:t>基本原则</w:t>
      </w:r>
    </w:p>
    <w:p w14:paraId="309A436E" w14:textId="43D39AFF" w:rsidR="002A13BC" w:rsidRDefault="002A13BC" w:rsidP="002A13BC">
      <w:pPr>
        <w:ind w:firstLine="480"/>
        <w:rPr>
          <w:rFonts w:hint="eastAsia"/>
        </w:rPr>
      </w:pPr>
      <w:r>
        <w:rPr>
          <w:rFonts w:hint="eastAsia"/>
        </w:rPr>
        <w:t>1.</w:t>
      </w:r>
      <w:r>
        <w:rPr>
          <w:rFonts w:hint="eastAsia"/>
        </w:rPr>
        <w:t>冻干巧克力中非可可植物脂肪添加量或带入量不得大于</w:t>
      </w:r>
      <w:r>
        <w:rPr>
          <w:rFonts w:hint="eastAsia"/>
        </w:rPr>
        <w:t>5%</w:t>
      </w:r>
      <w:r>
        <w:rPr>
          <w:rFonts w:hint="eastAsia"/>
        </w:rPr>
        <w:t>。</w:t>
      </w:r>
    </w:p>
    <w:p w14:paraId="3AEAF807" w14:textId="77777777" w:rsidR="002A13BC" w:rsidRDefault="002A13BC" w:rsidP="002A13BC">
      <w:pPr>
        <w:ind w:firstLine="480"/>
      </w:pPr>
      <w:r>
        <w:rPr>
          <w:rFonts w:hint="eastAsia"/>
        </w:rPr>
        <w:t>2.</w:t>
      </w:r>
      <w:r>
        <w:rPr>
          <w:rFonts w:hint="eastAsia"/>
        </w:rPr>
        <w:t>仅喷涂、浸挂或渗透巧克力，非整体经冻干工艺的产品不属于本标准定义的冻干巧克力及冻干巧克力制品。</w:t>
      </w:r>
    </w:p>
    <w:p w14:paraId="6FB5B59D" w14:textId="7AADF4A5" w:rsidR="002A13BC" w:rsidRPr="006C39AB" w:rsidRDefault="002A13BC" w:rsidP="002A13BC">
      <w:pPr>
        <w:pStyle w:val="2"/>
        <w:ind w:firstLine="562"/>
      </w:pPr>
      <w:r>
        <w:rPr>
          <w:rFonts w:hint="eastAsia"/>
        </w:rPr>
        <w:t xml:space="preserve">4.2 </w:t>
      </w:r>
      <w:r w:rsidRPr="006C39AB">
        <w:rPr>
          <w:rFonts w:hint="eastAsia"/>
        </w:rPr>
        <w:t>原辅料要求</w:t>
      </w:r>
    </w:p>
    <w:p w14:paraId="290528C5" w14:textId="3A389654" w:rsidR="002A13BC" w:rsidRPr="006C39AB" w:rsidRDefault="002A13BC" w:rsidP="002A13BC">
      <w:pPr>
        <w:ind w:firstLine="480"/>
        <w:rPr>
          <w:rFonts w:hAnsi="宋体" w:cs="宋体" w:hint="eastAsia"/>
        </w:rPr>
      </w:pPr>
      <w:r>
        <w:rPr>
          <w:rFonts w:hAnsi="宋体" w:cs="宋体" w:hint="eastAsia"/>
        </w:rPr>
        <w:t>1.</w:t>
      </w:r>
      <w:r w:rsidRPr="006C39AB">
        <w:rPr>
          <w:rFonts w:hAnsi="宋体" w:cs="宋体" w:hint="eastAsia"/>
        </w:rPr>
        <w:t>巧克力及巧克力制品应</w:t>
      </w:r>
      <w:r w:rsidRPr="006C39AB">
        <w:t>符合</w:t>
      </w:r>
      <w:r w:rsidRPr="006C39AB">
        <w:t>GB/T 19343</w:t>
      </w:r>
      <w:r w:rsidRPr="006C39AB">
        <w:rPr>
          <w:rFonts w:hint="eastAsia"/>
        </w:rPr>
        <w:t>的规定。</w:t>
      </w:r>
    </w:p>
    <w:p w14:paraId="45F9D439" w14:textId="22EFD60A" w:rsidR="002A13BC" w:rsidRPr="006C39AB" w:rsidRDefault="002A13BC" w:rsidP="002A13BC">
      <w:pPr>
        <w:ind w:firstLine="480"/>
      </w:pPr>
      <w:r>
        <w:rPr>
          <w:rFonts w:hint="eastAsia"/>
        </w:rPr>
        <w:t>2.</w:t>
      </w:r>
      <w:r w:rsidRPr="006C39AB">
        <w:rPr>
          <w:rFonts w:hint="eastAsia"/>
        </w:rPr>
        <w:t>其他原辅料应符合相应的国家标准及相关规定。</w:t>
      </w:r>
    </w:p>
    <w:p w14:paraId="0D826B00" w14:textId="41466B7B" w:rsidR="005C0B7F" w:rsidRDefault="005C0B7F" w:rsidP="002A13BC">
      <w:pPr>
        <w:pStyle w:val="2"/>
        <w:ind w:firstLine="562"/>
      </w:pPr>
      <w:r>
        <w:rPr>
          <w:rFonts w:hint="eastAsia"/>
        </w:rPr>
        <w:t>4</w:t>
      </w:r>
      <w:r w:rsidR="002A13BC">
        <w:rPr>
          <w:rFonts w:hint="eastAsia"/>
        </w:rPr>
        <w:t>.3</w:t>
      </w:r>
      <w:r>
        <w:rPr>
          <w:rFonts w:hint="eastAsia"/>
        </w:rPr>
        <w:t xml:space="preserve"> </w:t>
      </w:r>
      <w:r>
        <w:rPr>
          <w:rFonts w:hint="eastAsia"/>
        </w:rPr>
        <w:t>感官指标</w:t>
      </w:r>
    </w:p>
    <w:p w14:paraId="62793339" w14:textId="46BA8F74" w:rsidR="005C0B7F" w:rsidRDefault="005C0B7F" w:rsidP="005C0B7F">
      <w:pPr>
        <w:ind w:firstLine="480"/>
      </w:pPr>
      <w:r w:rsidRPr="005C0B7F">
        <w:t>按照冻干巧克力特殊的冻干工艺造成的特定组织状态和口感制订符合冻干巧克力及制品的感官指标，见表</w:t>
      </w:r>
      <w:r w:rsidRPr="005C0B7F">
        <w:t>1</w:t>
      </w:r>
      <w:r w:rsidRPr="005C0B7F">
        <w:t>。</w:t>
      </w:r>
    </w:p>
    <w:p w14:paraId="32E9DAE5" w14:textId="2854D0BF" w:rsidR="005C0B7F" w:rsidRDefault="005C0B7F" w:rsidP="005C0B7F">
      <w:pPr>
        <w:ind w:firstLineChars="0" w:firstLine="0"/>
        <w:jc w:val="center"/>
        <w:rPr>
          <w:rFonts w:hint="eastAsia"/>
        </w:rPr>
      </w:pPr>
      <w:r>
        <w:rPr>
          <w:rFonts w:hint="eastAsia"/>
        </w:rPr>
        <w:t>表</w:t>
      </w:r>
      <w:r>
        <w:rPr>
          <w:rFonts w:hint="eastAsia"/>
        </w:rPr>
        <w:t xml:space="preserve">1 </w:t>
      </w:r>
      <w:r>
        <w:rPr>
          <w:rFonts w:hint="eastAsia"/>
        </w:rPr>
        <w:t>感官指标</w:t>
      </w:r>
    </w:p>
    <w:tbl>
      <w:tblPr>
        <w:tblW w:w="934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100" w:type="dxa"/>
          <w:right w:w="100" w:type="dxa"/>
        </w:tblCellMar>
        <w:tblLook w:val="0000" w:firstRow="0" w:lastRow="0" w:firstColumn="0" w:lastColumn="0" w:noHBand="0" w:noVBand="0"/>
      </w:tblPr>
      <w:tblGrid>
        <w:gridCol w:w="1266"/>
        <w:gridCol w:w="4678"/>
        <w:gridCol w:w="3402"/>
      </w:tblGrid>
      <w:tr w:rsidR="005C0B7F" w:rsidRPr="005C0B7F" w14:paraId="0C460246" w14:textId="77777777" w:rsidTr="005C0B7F">
        <w:trPr>
          <w:trHeight w:val="20"/>
        </w:trPr>
        <w:tc>
          <w:tcPr>
            <w:tcW w:w="1266" w:type="dxa"/>
            <w:tcBorders>
              <w:top w:val="single" w:sz="8" w:space="0" w:color="auto"/>
              <w:bottom w:val="single" w:sz="8" w:space="0" w:color="auto"/>
            </w:tcBorders>
            <w:vAlign w:val="center"/>
          </w:tcPr>
          <w:p w14:paraId="2F5D02EF" w14:textId="77777777" w:rsidR="005C0B7F" w:rsidRPr="005C0B7F" w:rsidRDefault="005C0B7F" w:rsidP="005C0B7F">
            <w:pPr>
              <w:spacing w:line="240" w:lineRule="auto"/>
              <w:ind w:firstLineChars="0" w:firstLine="0"/>
              <w:jc w:val="center"/>
              <w:rPr>
                <w:rFonts w:ascii="宋体" w:hAnsi="宋体" w:hint="eastAsia"/>
                <w:sz w:val="21"/>
                <w:szCs w:val="24"/>
              </w:rPr>
            </w:pPr>
            <w:r w:rsidRPr="005C0B7F">
              <w:rPr>
                <w:rFonts w:ascii="宋体" w:hAnsi="宋体" w:hint="eastAsia"/>
                <w:sz w:val="21"/>
                <w:szCs w:val="24"/>
              </w:rPr>
              <w:t>项目</w:t>
            </w:r>
          </w:p>
        </w:tc>
        <w:tc>
          <w:tcPr>
            <w:tcW w:w="4678" w:type="dxa"/>
            <w:tcBorders>
              <w:top w:val="single" w:sz="8" w:space="0" w:color="auto"/>
              <w:bottom w:val="single" w:sz="8" w:space="0" w:color="auto"/>
            </w:tcBorders>
            <w:vAlign w:val="center"/>
          </w:tcPr>
          <w:p w14:paraId="1E465C80" w14:textId="77777777" w:rsidR="005C0B7F" w:rsidRPr="005C0B7F" w:rsidRDefault="005C0B7F" w:rsidP="005C0B7F">
            <w:pPr>
              <w:spacing w:line="240" w:lineRule="auto"/>
              <w:ind w:firstLineChars="0" w:firstLine="0"/>
              <w:jc w:val="center"/>
              <w:rPr>
                <w:rFonts w:ascii="宋体" w:hAnsi="宋体" w:hint="eastAsia"/>
                <w:sz w:val="21"/>
                <w:szCs w:val="24"/>
              </w:rPr>
            </w:pPr>
            <w:r w:rsidRPr="005C0B7F">
              <w:rPr>
                <w:rFonts w:ascii="宋体" w:hAnsi="宋体" w:hint="eastAsia"/>
                <w:sz w:val="21"/>
                <w:szCs w:val="24"/>
              </w:rPr>
              <w:t>要求</w:t>
            </w:r>
          </w:p>
        </w:tc>
        <w:tc>
          <w:tcPr>
            <w:tcW w:w="3402" w:type="dxa"/>
            <w:tcBorders>
              <w:top w:val="single" w:sz="8" w:space="0" w:color="auto"/>
              <w:bottom w:val="single" w:sz="8" w:space="0" w:color="auto"/>
            </w:tcBorders>
            <w:vAlign w:val="center"/>
          </w:tcPr>
          <w:p w14:paraId="0C574D88" w14:textId="77777777" w:rsidR="005C0B7F" w:rsidRPr="005C0B7F" w:rsidRDefault="005C0B7F" w:rsidP="005C0B7F">
            <w:pPr>
              <w:spacing w:line="240" w:lineRule="auto"/>
              <w:ind w:firstLineChars="0" w:firstLine="0"/>
              <w:jc w:val="center"/>
              <w:rPr>
                <w:rFonts w:ascii="宋体" w:hAnsi="宋体" w:hint="eastAsia"/>
                <w:sz w:val="21"/>
                <w:szCs w:val="24"/>
              </w:rPr>
            </w:pPr>
            <w:r w:rsidRPr="005C0B7F">
              <w:rPr>
                <w:rFonts w:ascii="宋体" w:hAnsi="宋体" w:hint="eastAsia"/>
                <w:sz w:val="21"/>
                <w:szCs w:val="24"/>
              </w:rPr>
              <w:t>检测方法</w:t>
            </w:r>
          </w:p>
        </w:tc>
      </w:tr>
      <w:tr w:rsidR="005C0B7F" w:rsidRPr="005C0B7F" w14:paraId="2EFEEBC1" w14:textId="77777777" w:rsidTr="005C0B7F">
        <w:trPr>
          <w:trHeight w:val="20"/>
        </w:trPr>
        <w:tc>
          <w:tcPr>
            <w:tcW w:w="1266" w:type="dxa"/>
            <w:tcBorders>
              <w:top w:val="single" w:sz="8" w:space="0" w:color="auto"/>
            </w:tcBorders>
            <w:vAlign w:val="center"/>
          </w:tcPr>
          <w:p w14:paraId="74D1DCD1" w14:textId="77777777" w:rsidR="005C0B7F" w:rsidRPr="005C0B7F" w:rsidRDefault="005C0B7F" w:rsidP="005C0B7F">
            <w:pPr>
              <w:pStyle w:val="aff"/>
              <w:jc w:val="left"/>
              <w:rPr>
                <w:rFonts w:ascii="宋体" w:hAnsi="宋体" w:hint="eastAsia"/>
                <w:sz w:val="21"/>
                <w:szCs w:val="24"/>
              </w:rPr>
            </w:pPr>
            <w:r w:rsidRPr="005C0B7F">
              <w:rPr>
                <w:rFonts w:hint="eastAsia"/>
                <w:sz w:val="21"/>
                <w:szCs w:val="24"/>
              </w:rPr>
              <w:t>组织与形态</w:t>
            </w:r>
          </w:p>
        </w:tc>
        <w:tc>
          <w:tcPr>
            <w:tcW w:w="4678" w:type="dxa"/>
            <w:tcBorders>
              <w:top w:val="single" w:sz="8" w:space="0" w:color="auto"/>
            </w:tcBorders>
          </w:tcPr>
          <w:p w14:paraId="32113044" w14:textId="77777777" w:rsidR="005C0B7F" w:rsidRPr="005C0B7F" w:rsidRDefault="005C0B7F" w:rsidP="005C0B7F">
            <w:pPr>
              <w:pStyle w:val="aff"/>
              <w:jc w:val="left"/>
              <w:rPr>
                <w:rFonts w:ascii="宋体" w:hAnsi="宋体" w:hint="eastAsia"/>
                <w:sz w:val="21"/>
                <w:szCs w:val="24"/>
              </w:rPr>
            </w:pPr>
            <w:r w:rsidRPr="005C0B7F">
              <w:rPr>
                <w:rFonts w:ascii="宋体" w:hAnsi="宋体" w:hint="eastAsia"/>
                <w:sz w:val="21"/>
                <w:szCs w:val="24"/>
              </w:rPr>
              <w:t>外形完整，断面呈均匀微孔结构，组织细腻，无明显大空洞</w:t>
            </w:r>
          </w:p>
        </w:tc>
        <w:tc>
          <w:tcPr>
            <w:tcW w:w="3402" w:type="dxa"/>
            <w:vMerge w:val="restart"/>
            <w:tcBorders>
              <w:top w:val="single" w:sz="8" w:space="0" w:color="auto"/>
            </w:tcBorders>
            <w:vAlign w:val="center"/>
          </w:tcPr>
          <w:p w14:paraId="587581BC" w14:textId="77777777" w:rsidR="005C0B7F" w:rsidRPr="005C0B7F" w:rsidRDefault="005C0B7F" w:rsidP="005C0B7F">
            <w:pPr>
              <w:spacing w:line="240" w:lineRule="auto"/>
              <w:ind w:firstLineChars="0" w:firstLine="0"/>
              <w:jc w:val="center"/>
              <w:rPr>
                <w:rFonts w:ascii="宋体" w:hAnsi="宋体" w:hint="eastAsia"/>
                <w:sz w:val="21"/>
                <w:szCs w:val="24"/>
              </w:rPr>
            </w:pPr>
            <w:r w:rsidRPr="005C0B7F">
              <w:rPr>
                <w:rFonts w:ascii="宋体" w:hAnsi="宋体"/>
                <w:sz w:val="21"/>
                <w:szCs w:val="24"/>
              </w:rPr>
              <w:t>取适量试样置于50mL烧杯或白色瓷盘中，在自然光下观察色泽、组织和状态。闻其气味，用温开水漱口，品尝滋味。</w:t>
            </w:r>
          </w:p>
        </w:tc>
      </w:tr>
      <w:tr w:rsidR="005C0B7F" w:rsidRPr="005C0B7F" w14:paraId="43EF92B5" w14:textId="77777777" w:rsidTr="005C0B7F">
        <w:trPr>
          <w:trHeight w:val="20"/>
        </w:trPr>
        <w:tc>
          <w:tcPr>
            <w:tcW w:w="1266" w:type="dxa"/>
            <w:vAlign w:val="center"/>
          </w:tcPr>
          <w:p w14:paraId="04A71885" w14:textId="77777777" w:rsidR="005C0B7F" w:rsidRPr="005C0B7F" w:rsidRDefault="005C0B7F" w:rsidP="005C0B7F">
            <w:pPr>
              <w:pStyle w:val="aff"/>
              <w:jc w:val="left"/>
              <w:rPr>
                <w:rFonts w:ascii="宋体" w:hAnsi="宋体" w:hint="eastAsia"/>
                <w:sz w:val="21"/>
                <w:szCs w:val="24"/>
              </w:rPr>
            </w:pPr>
            <w:r w:rsidRPr="005C0B7F">
              <w:rPr>
                <w:rFonts w:hint="eastAsia"/>
                <w:sz w:val="21"/>
                <w:szCs w:val="24"/>
              </w:rPr>
              <w:t>色泽</w:t>
            </w:r>
          </w:p>
        </w:tc>
        <w:tc>
          <w:tcPr>
            <w:tcW w:w="4678" w:type="dxa"/>
          </w:tcPr>
          <w:p w14:paraId="19644BC9" w14:textId="77777777" w:rsidR="005C0B7F" w:rsidRPr="005C0B7F" w:rsidRDefault="005C0B7F" w:rsidP="005C0B7F">
            <w:pPr>
              <w:pStyle w:val="aff"/>
              <w:jc w:val="left"/>
              <w:rPr>
                <w:rFonts w:ascii="宋体" w:hAnsi="宋体" w:hint="eastAsia"/>
                <w:sz w:val="21"/>
                <w:szCs w:val="24"/>
              </w:rPr>
            </w:pPr>
            <w:r w:rsidRPr="005C0B7F">
              <w:rPr>
                <w:rFonts w:ascii="宋体" w:hAnsi="宋体" w:hint="eastAsia"/>
                <w:sz w:val="21"/>
                <w:szCs w:val="24"/>
              </w:rPr>
              <w:t>具有产品应有的色泽</w:t>
            </w:r>
          </w:p>
        </w:tc>
        <w:tc>
          <w:tcPr>
            <w:tcW w:w="3402" w:type="dxa"/>
            <w:vMerge/>
            <w:vAlign w:val="center"/>
          </w:tcPr>
          <w:p w14:paraId="37BC0A9A" w14:textId="77777777" w:rsidR="005C0B7F" w:rsidRPr="005C0B7F" w:rsidRDefault="005C0B7F" w:rsidP="005C0B7F">
            <w:pPr>
              <w:spacing w:line="240" w:lineRule="auto"/>
              <w:ind w:firstLineChars="0" w:firstLine="0"/>
              <w:jc w:val="center"/>
              <w:rPr>
                <w:rFonts w:ascii="宋体" w:hAnsi="宋体" w:hint="eastAsia"/>
                <w:sz w:val="21"/>
                <w:szCs w:val="24"/>
              </w:rPr>
            </w:pPr>
          </w:p>
        </w:tc>
      </w:tr>
      <w:tr w:rsidR="005C0B7F" w:rsidRPr="005C0B7F" w14:paraId="31E36030" w14:textId="77777777" w:rsidTr="005C0B7F">
        <w:trPr>
          <w:trHeight w:val="20"/>
        </w:trPr>
        <w:tc>
          <w:tcPr>
            <w:tcW w:w="1266" w:type="dxa"/>
            <w:vAlign w:val="center"/>
          </w:tcPr>
          <w:p w14:paraId="58DBFEA5" w14:textId="77777777" w:rsidR="005C0B7F" w:rsidRPr="005C0B7F" w:rsidRDefault="005C0B7F" w:rsidP="005C0B7F">
            <w:pPr>
              <w:pStyle w:val="aff"/>
              <w:jc w:val="left"/>
              <w:rPr>
                <w:rFonts w:ascii="宋体" w:hAnsi="宋体" w:hint="eastAsia"/>
                <w:sz w:val="21"/>
                <w:szCs w:val="24"/>
              </w:rPr>
            </w:pPr>
            <w:r w:rsidRPr="005C0B7F">
              <w:rPr>
                <w:rFonts w:hint="eastAsia"/>
                <w:sz w:val="21"/>
                <w:szCs w:val="24"/>
              </w:rPr>
              <w:t>滋味气味</w:t>
            </w:r>
          </w:p>
        </w:tc>
        <w:tc>
          <w:tcPr>
            <w:tcW w:w="4678" w:type="dxa"/>
          </w:tcPr>
          <w:p w14:paraId="0AC4F86E" w14:textId="77777777" w:rsidR="005C0B7F" w:rsidRPr="005C0B7F" w:rsidRDefault="005C0B7F" w:rsidP="005C0B7F">
            <w:pPr>
              <w:pStyle w:val="aff"/>
              <w:jc w:val="left"/>
              <w:rPr>
                <w:rFonts w:ascii="宋体" w:hAnsi="宋体" w:hint="eastAsia"/>
                <w:sz w:val="21"/>
                <w:szCs w:val="24"/>
              </w:rPr>
            </w:pPr>
            <w:r w:rsidRPr="005C0B7F">
              <w:rPr>
                <w:rFonts w:ascii="宋体" w:hAnsi="宋体" w:hint="eastAsia"/>
                <w:sz w:val="21"/>
                <w:szCs w:val="24"/>
              </w:rPr>
              <w:t>具有巧克力特有的滋味和气味，无异味。</w:t>
            </w:r>
          </w:p>
        </w:tc>
        <w:tc>
          <w:tcPr>
            <w:tcW w:w="3402" w:type="dxa"/>
            <w:vMerge/>
            <w:vAlign w:val="center"/>
          </w:tcPr>
          <w:p w14:paraId="417B4A6F" w14:textId="77777777" w:rsidR="005C0B7F" w:rsidRPr="005C0B7F" w:rsidRDefault="005C0B7F" w:rsidP="005C0B7F">
            <w:pPr>
              <w:spacing w:line="240" w:lineRule="auto"/>
              <w:ind w:firstLineChars="0" w:firstLine="0"/>
              <w:jc w:val="center"/>
              <w:rPr>
                <w:rFonts w:ascii="宋体" w:hAnsi="宋体" w:hint="eastAsia"/>
                <w:sz w:val="21"/>
                <w:szCs w:val="24"/>
              </w:rPr>
            </w:pPr>
          </w:p>
        </w:tc>
      </w:tr>
      <w:tr w:rsidR="005C0B7F" w:rsidRPr="005C0B7F" w14:paraId="530DCBF3" w14:textId="77777777" w:rsidTr="005C0B7F">
        <w:trPr>
          <w:trHeight w:val="20"/>
        </w:trPr>
        <w:tc>
          <w:tcPr>
            <w:tcW w:w="1266" w:type="dxa"/>
            <w:vAlign w:val="center"/>
          </w:tcPr>
          <w:p w14:paraId="7AEDDF6F" w14:textId="77777777" w:rsidR="005C0B7F" w:rsidRPr="005C0B7F" w:rsidRDefault="005C0B7F" w:rsidP="005C0B7F">
            <w:pPr>
              <w:pStyle w:val="aff"/>
              <w:jc w:val="left"/>
              <w:rPr>
                <w:rFonts w:ascii="宋体" w:hAnsi="宋体" w:hint="eastAsia"/>
                <w:sz w:val="21"/>
                <w:szCs w:val="24"/>
              </w:rPr>
            </w:pPr>
            <w:r w:rsidRPr="005C0B7F">
              <w:rPr>
                <w:rFonts w:hint="eastAsia"/>
                <w:sz w:val="21"/>
                <w:szCs w:val="24"/>
              </w:rPr>
              <w:t>口感</w:t>
            </w:r>
          </w:p>
        </w:tc>
        <w:tc>
          <w:tcPr>
            <w:tcW w:w="4678" w:type="dxa"/>
          </w:tcPr>
          <w:p w14:paraId="12A1A8E7" w14:textId="77777777" w:rsidR="005C0B7F" w:rsidRPr="005C0B7F" w:rsidRDefault="005C0B7F" w:rsidP="005C0B7F">
            <w:pPr>
              <w:pStyle w:val="aff"/>
              <w:jc w:val="left"/>
              <w:rPr>
                <w:rFonts w:ascii="宋体" w:hAnsi="宋体" w:hint="eastAsia"/>
                <w:sz w:val="21"/>
                <w:szCs w:val="24"/>
              </w:rPr>
            </w:pPr>
            <w:r w:rsidRPr="005C0B7F">
              <w:rPr>
                <w:rFonts w:ascii="宋体" w:hAnsi="宋体" w:hint="eastAsia"/>
                <w:sz w:val="21"/>
                <w:szCs w:val="24"/>
              </w:rPr>
              <w:t>入口酥脆，咀嚼后逐渐融化，具有巧克力应有的细腻感</w:t>
            </w:r>
          </w:p>
        </w:tc>
        <w:tc>
          <w:tcPr>
            <w:tcW w:w="3402" w:type="dxa"/>
            <w:vMerge/>
            <w:vAlign w:val="center"/>
          </w:tcPr>
          <w:p w14:paraId="5ED957E5" w14:textId="77777777" w:rsidR="005C0B7F" w:rsidRPr="005C0B7F" w:rsidRDefault="005C0B7F" w:rsidP="005C0B7F">
            <w:pPr>
              <w:spacing w:line="240" w:lineRule="auto"/>
              <w:ind w:firstLineChars="0" w:firstLine="0"/>
              <w:jc w:val="center"/>
              <w:rPr>
                <w:rFonts w:ascii="宋体" w:hAnsi="宋体" w:hint="eastAsia"/>
                <w:sz w:val="21"/>
                <w:szCs w:val="24"/>
              </w:rPr>
            </w:pPr>
          </w:p>
        </w:tc>
      </w:tr>
      <w:tr w:rsidR="005C0B7F" w:rsidRPr="005C0B7F" w14:paraId="09E2A962" w14:textId="77777777" w:rsidTr="005C0B7F">
        <w:trPr>
          <w:trHeight w:val="20"/>
        </w:trPr>
        <w:tc>
          <w:tcPr>
            <w:tcW w:w="1266" w:type="dxa"/>
            <w:vAlign w:val="center"/>
          </w:tcPr>
          <w:p w14:paraId="5356085C" w14:textId="77777777" w:rsidR="005C0B7F" w:rsidRPr="005C0B7F" w:rsidRDefault="005C0B7F" w:rsidP="005C0B7F">
            <w:pPr>
              <w:pStyle w:val="aff"/>
              <w:jc w:val="left"/>
              <w:rPr>
                <w:rFonts w:ascii="宋体" w:hAnsi="宋体" w:hint="eastAsia"/>
                <w:sz w:val="21"/>
                <w:szCs w:val="24"/>
              </w:rPr>
            </w:pPr>
            <w:r w:rsidRPr="005C0B7F">
              <w:rPr>
                <w:rFonts w:ascii="宋体" w:hAnsi="宋体" w:hint="eastAsia"/>
                <w:sz w:val="21"/>
                <w:szCs w:val="24"/>
              </w:rPr>
              <w:t>杂质</w:t>
            </w:r>
          </w:p>
        </w:tc>
        <w:tc>
          <w:tcPr>
            <w:tcW w:w="4678" w:type="dxa"/>
          </w:tcPr>
          <w:p w14:paraId="268B9E85" w14:textId="77777777" w:rsidR="005C0B7F" w:rsidRPr="005C0B7F" w:rsidRDefault="005C0B7F" w:rsidP="005C0B7F">
            <w:pPr>
              <w:pStyle w:val="aff"/>
              <w:jc w:val="left"/>
              <w:rPr>
                <w:rFonts w:ascii="宋体" w:hAnsi="宋体" w:cs="宋体" w:hint="eastAsia"/>
                <w:sz w:val="21"/>
                <w:szCs w:val="24"/>
              </w:rPr>
            </w:pPr>
            <w:r w:rsidRPr="005C0B7F">
              <w:rPr>
                <w:rFonts w:ascii="宋体" w:hAnsi="宋体" w:hint="eastAsia"/>
                <w:sz w:val="21"/>
                <w:szCs w:val="24"/>
              </w:rPr>
              <w:t>无正常视力可见的外来杂质</w:t>
            </w:r>
          </w:p>
        </w:tc>
        <w:tc>
          <w:tcPr>
            <w:tcW w:w="3402" w:type="dxa"/>
            <w:vMerge/>
            <w:vAlign w:val="center"/>
          </w:tcPr>
          <w:p w14:paraId="554D19C6" w14:textId="77777777" w:rsidR="005C0B7F" w:rsidRPr="005C0B7F" w:rsidRDefault="005C0B7F" w:rsidP="005C0B7F">
            <w:pPr>
              <w:spacing w:line="240" w:lineRule="auto"/>
              <w:ind w:firstLineChars="0" w:firstLine="0"/>
              <w:jc w:val="center"/>
              <w:rPr>
                <w:rFonts w:ascii="宋体" w:hAnsi="宋体" w:hint="eastAsia"/>
                <w:sz w:val="21"/>
                <w:szCs w:val="24"/>
              </w:rPr>
            </w:pPr>
          </w:p>
        </w:tc>
      </w:tr>
    </w:tbl>
    <w:p w14:paraId="649EA024" w14:textId="298BB2FA" w:rsidR="005C0B7F" w:rsidRDefault="005C0B7F" w:rsidP="005C0B7F">
      <w:pPr>
        <w:pStyle w:val="2"/>
        <w:ind w:firstLine="562"/>
      </w:pPr>
      <w:r>
        <w:rPr>
          <w:rFonts w:hint="eastAsia"/>
        </w:rPr>
        <w:lastRenderedPageBreak/>
        <w:t>4.</w:t>
      </w:r>
      <w:r w:rsidR="002A13BC">
        <w:rPr>
          <w:rFonts w:hint="eastAsia"/>
        </w:rPr>
        <w:t>4</w:t>
      </w:r>
      <w:r>
        <w:rPr>
          <w:rFonts w:hint="eastAsia"/>
        </w:rPr>
        <w:t xml:space="preserve"> </w:t>
      </w:r>
      <w:r>
        <w:t>理化指标</w:t>
      </w:r>
    </w:p>
    <w:p w14:paraId="3689FE98" w14:textId="70BC796A" w:rsidR="005C0B7F" w:rsidRDefault="005C0B7F" w:rsidP="005C0B7F">
      <w:pPr>
        <w:ind w:firstLine="480"/>
      </w:pPr>
      <w:r w:rsidRPr="005C0B7F">
        <w:t>理化指标在符合</w:t>
      </w:r>
      <w:r w:rsidRPr="005C0B7F">
        <w:t>GB/T 19343</w:t>
      </w:r>
      <w:r w:rsidRPr="005C0B7F">
        <w:t>规定的基础上，也考虑提升本标准涵盖的冻干巧克力及其制品的品质各品类产品中巧克力成分的限制；以及冻干巧克力保存条件和工艺等特性，防止生产过程和保质期内保证应有的口感和品质，增加酸价和水分两个指标，并根据市面上冻干巧克力产品和企业自己长期摸索数据制定了相应的限制，具体见表</w:t>
      </w:r>
      <w:r w:rsidRPr="005C0B7F">
        <w:t>2</w:t>
      </w:r>
      <w:r w:rsidRPr="005C0B7F">
        <w:t>的规定。</w:t>
      </w:r>
    </w:p>
    <w:p w14:paraId="38A3101A" w14:textId="77777777" w:rsidR="005C0B7F" w:rsidRDefault="005C0B7F" w:rsidP="001E4742">
      <w:pPr>
        <w:ind w:firstLineChars="0" w:firstLine="0"/>
        <w:jc w:val="center"/>
      </w:pPr>
      <w:r>
        <w:rPr>
          <w:rFonts w:hint="eastAsia"/>
        </w:rPr>
        <w:t>表</w:t>
      </w:r>
      <w:r>
        <w:rPr>
          <w:rFonts w:hint="eastAsia"/>
        </w:rPr>
        <w:t xml:space="preserve">2 </w:t>
      </w:r>
      <w:r>
        <w:rPr>
          <w:rFonts w:hint="eastAsia"/>
        </w:rPr>
        <w:t>理化指标</w:t>
      </w:r>
    </w:p>
    <w:tbl>
      <w:tblPr>
        <w:tblW w:w="934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100" w:type="dxa"/>
          <w:right w:w="100" w:type="dxa"/>
        </w:tblCellMar>
        <w:tblLook w:val="0000" w:firstRow="0" w:lastRow="0" w:firstColumn="0" w:lastColumn="0" w:noHBand="0" w:noVBand="0"/>
      </w:tblPr>
      <w:tblGrid>
        <w:gridCol w:w="3109"/>
        <w:gridCol w:w="650"/>
        <w:gridCol w:w="712"/>
        <w:gridCol w:w="857"/>
        <w:gridCol w:w="758"/>
        <w:gridCol w:w="3260"/>
      </w:tblGrid>
      <w:tr w:rsidR="005C0B7F" w:rsidRPr="005C0B7F" w14:paraId="7070E26B" w14:textId="77777777" w:rsidTr="009D6B0D">
        <w:trPr>
          <w:tblHeader/>
          <w:jc w:val="center"/>
        </w:trPr>
        <w:tc>
          <w:tcPr>
            <w:tcW w:w="3109" w:type="dxa"/>
            <w:tcBorders>
              <w:top w:val="single" w:sz="8" w:space="0" w:color="auto"/>
              <w:bottom w:val="single" w:sz="8" w:space="0" w:color="auto"/>
            </w:tcBorders>
            <w:vAlign w:val="center"/>
          </w:tcPr>
          <w:p w14:paraId="62AD9520"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项目</w:t>
            </w:r>
          </w:p>
        </w:tc>
        <w:tc>
          <w:tcPr>
            <w:tcW w:w="650" w:type="dxa"/>
            <w:tcBorders>
              <w:top w:val="single" w:sz="8" w:space="0" w:color="auto"/>
              <w:bottom w:val="single" w:sz="8" w:space="0" w:color="auto"/>
            </w:tcBorders>
            <w:vAlign w:val="center"/>
          </w:tcPr>
          <w:p w14:paraId="383EEB1B"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黑巧克力</w:t>
            </w:r>
          </w:p>
        </w:tc>
        <w:tc>
          <w:tcPr>
            <w:tcW w:w="712" w:type="dxa"/>
            <w:tcBorders>
              <w:top w:val="single" w:sz="8" w:space="0" w:color="auto"/>
              <w:bottom w:val="single" w:sz="8" w:space="0" w:color="auto"/>
            </w:tcBorders>
            <w:vAlign w:val="center"/>
          </w:tcPr>
          <w:p w14:paraId="60CE35A9"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白巧克力</w:t>
            </w:r>
          </w:p>
        </w:tc>
        <w:tc>
          <w:tcPr>
            <w:tcW w:w="857" w:type="dxa"/>
            <w:tcBorders>
              <w:top w:val="single" w:sz="8" w:space="0" w:color="auto"/>
              <w:bottom w:val="single" w:sz="8" w:space="0" w:color="auto"/>
            </w:tcBorders>
            <w:vAlign w:val="center"/>
          </w:tcPr>
          <w:p w14:paraId="61ED7FD7" w14:textId="77777777" w:rsidR="005C0B7F" w:rsidRPr="005C0B7F" w:rsidRDefault="005C0B7F" w:rsidP="005C0B7F">
            <w:pPr>
              <w:spacing w:line="240" w:lineRule="auto"/>
              <w:ind w:firstLineChars="0" w:firstLine="0"/>
              <w:jc w:val="center"/>
              <w:rPr>
                <w:rFonts w:asciiTheme="minorEastAsia" w:eastAsiaTheme="minorEastAsia" w:hAnsiTheme="minorEastAsia" w:cs="宋体" w:hint="eastAsia"/>
                <w:color w:val="000000"/>
                <w:sz w:val="21"/>
              </w:rPr>
            </w:pPr>
            <w:r w:rsidRPr="005C0B7F">
              <w:rPr>
                <w:rFonts w:asciiTheme="minorEastAsia" w:eastAsiaTheme="minorEastAsia" w:hAnsiTheme="minorEastAsia" w:cs="宋体" w:hint="eastAsia"/>
                <w:color w:val="000000"/>
                <w:sz w:val="21"/>
              </w:rPr>
              <w:t>牛奶巧克力</w:t>
            </w:r>
          </w:p>
        </w:tc>
        <w:tc>
          <w:tcPr>
            <w:tcW w:w="758" w:type="dxa"/>
            <w:tcBorders>
              <w:top w:val="single" w:sz="8" w:space="0" w:color="auto"/>
              <w:bottom w:val="single" w:sz="8" w:space="0" w:color="auto"/>
            </w:tcBorders>
            <w:vAlign w:val="center"/>
          </w:tcPr>
          <w:p w14:paraId="6F4E4713"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其他巧克力</w:t>
            </w:r>
          </w:p>
        </w:tc>
        <w:tc>
          <w:tcPr>
            <w:tcW w:w="3260" w:type="dxa"/>
            <w:tcBorders>
              <w:top w:val="single" w:sz="8" w:space="0" w:color="auto"/>
              <w:bottom w:val="single" w:sz="8" w:space="0" w:color="auto"/>
            </w:tcBorders>
            <w:vAlign w:val="center"/>
          </w:tcPr>
          <w:p w14:paraId="29099A4A"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巧克力制品</w:t>
            </w:r>
          </w:p>
        </w:tc>
      </w:tr>
      <w:tr w:rsidR="005C0B7F" w:rsidRPr="005C0B7F" w14:paraId="26E08A24" w14:textId="77777777" w:rsidTr="009D6B0D">
        <w:trPr>
          <w:jc w:val="center"/>
        </w:trPr>
        <w:tc>
          <w:tcPr>
            <w:tcW w:w="3109" w:type="dxa"/>
            <w:tcBorders>
              <w:top w:val="single" w:sz="8" w:space="0" w:color="auto"/>
            </w:tcBorders>
            <w:vAlign w:val="center"/>
          </w:tcPr>
          <w:p w14:paraId="35AB2566"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可可脂</w:t>
            </w:r>
            <w:r w:rsidRPr="005C0B7F">
              <w:rPr>
                <w:rFonts w:asciiTheme="minorEastAsia" w:eastAsiaTheme="minorEastAsia" w:hAnsiTheme="minorEastAsia" w:hint="eastAsia"/>
                <w:sz w:val="21"/>
                <w:szCs w:val="21"/>
                <w:vertAlign w:val="superscript"/>
              </w:rPr>
              <w:t>a</w:t>
            </w:r>
            <w:r w:rsidRPr="005C0B7F">
              <w:rPr>
                <w:rFonts w:asciiTheme="minorEastAsia" w:eastAsiaTheme="minorEastAsia" w:hAnsiTheme="minorEastAsia" w:cs="宋体" w:hint="eastAsia"/>
                <w:color w:val="000000"/>
                <w:sz w:val="21"/>
                <w:szCs w:val="21"/>
              </w:rPr>
              <w:t xml:space="preserve"> (以干物质计</w:t>
            </w:r>
            <w:proofErr w:type="gramStart"/>
            <w:r w:rsidRPr="005C0B7F">
              <w:rPr>
                <w:rFonts w:asciiTheme="minorEastAsia" w:eastAsiaTheme="minorEastAsia" w:hAnsiTheme="minorEastAsia" w:cs="宋体" w:hint="eastAsia"/>
                <w:color w:val="000000"/>
                <w:sz w:val="21"/>
                <w:szCs w:val="21"/>
              </w:rPr>
              <w:t xml:space="preserve"> )</w:t>
            </w:r>
            <w:proofErr w:type="gramEnd"/>
            <w:r w:rsidRPr="005C0B7F">
              <w:rPr>
                <w:rFonts w:asciiTheme="minorEastAsia" w:eastAsiaTheme="minorEastAsia" w:hAnsiTheme="minorEastAsia" w:cs="宋体" w:hint="eastAsia"/>
                <w:color w:val="000000"/>
                <w:sz w:val="21"/>
                <w:szCs w:val="21"/>
              </w:rPr>
              <w:t xml:space="preserve"> /（g/100g） </w:t>
            </w:r>
          </w:p>
        </w:tc>
        <w:tc>
          <w:tcPr>
            <w:tcW w:w="650" w:type="dxa"/>
            <w:tcBorders>
              <w:top w:val="single" w:sz="8" w:space="0" w:color="auto"/>
            </w:tcBorders>
            <w:vAlign w:val="center"/>
          </w:tcPr>
          <w:p w14:paraId="01C67DB8"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≥18</w:t>
            </w:r>
          </w:p>
        </w:tc>
        <w:tc>
          <w:tcPr>
            <w:tcW w:w="712" w:type="dxa"/>
            <w:tcBorders>
              <w:top w:val="single" w:sz="8" w:space="0" w:color="auto"/>
            </w:tcBorders>
            <w:vAlign w:val="center"/>
          </w:tcPr>
          <w:p w14:paraId="36D1B025"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≥20</w:t>
            </w:r>
          </w:p>
        </w:tc>
        <w:tc>
          <w:tcPr>
            <w:tcW w:w="857" w:type="dxa"/>
            <w:tcBorders>
              <w:top w:val="single" w:sz="8" w:space="0" w:color="auto"/>
            </w:tcBorders>
            <w:vAlign w:val="center"/>
          </w:tcPr>
          <w:p w14:paraId="255F4D0B"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c>
          <w:tcPr>
            <w:tcW w:w="758" w:type="dxa"/>
            <w:tcBorders>
              <w:top w:val="single" w:sz="8" w:space="0" w:color="auto"/>
            </w:tcBorders>
            <w:vAlign w:val="center"/>
          </w:tcPr>
          <w:p w14:paraId="541B620E"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≥20</w:t>
            </w:r>
          </w:p>
        </w:tc>
        <w:tc>
          <w:tcPr>
            <w:tcW w:w="3260" w:type="dxa"/>
            <w:tcBorders>
              <w:top w:val="single" w:sz="8" w:space="0" w:color="auto"/>
            </w:tcBorders>
            <w:tcMar>
              <w:left w:w="0" w:type="dxa"/>
              <w:right w:w="0" w:type="dxa"/>
            </w:tcMar>
            <w:vAlign w:val="center"/>
          </w:tcPr>
          <w:p w14:paraId="398DA2BB" w14:textId="77777777" w:rsidR="005C0B7F" w:rsidRPr="005C0B7F" w:rsidRDefault="005C0B7F" w:rsidP="005C0B7F">
            <w:pPr>
              <w:spacing w:line="240" w:lineRule="auto"/>
              <w:ind w:firstLineChars="0" w:firstLine="0"/>
              <w:jc w:val="center"/>
              <w:rPr>
                <w:rFonts w:asciiTheme="minorEastAsia" w:eastAsiaTheme="minorEastAsia" w:hAnsiTheme="minorEastAsia" w:cs="宋体" w:hint="eastAsia"/>
                <w:color w:val="000000"/>
                <w:sz w:val="21"/>
              </w:rPr>
            </w:pPr>
            <w:r w:rsidRPr="005C0B7F">
              <w:rPr>
                <w:rFonts w:asciiTheme="minorEastAsia" w:eastAsiaTheme="minorEastAsia" w:hAnsiTheme="minorEastAsia" w:cs="宋体" w:hint="eastAsia"/>
                <w:color w:val="000000"/>
                <w:sz w:val="21"/>
              </w:rPr>
              <w:t>≥18（黑巧克力部分），</w:t>
            </w:r>
          </w:p>
          <w:p w14:paraId="09A8AC24"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≥20（白巧克力和其他巧克力部分）</w:t>
            </w:r>
          </w:p>
        </w:tc>
      </w:tr>
      <w:tr w:rsidR="005C0B7F" w:rsidRPr="005C0B7F" w14:paraId="7B92FBA5" w14:textId="77777777" w:rsidTr="009D6B0D">
        <w:trPr>
          <w:jc w:val="center"/>
        </w:trPr>
        <w:tc>
          <w:tcPr>
            <w:tcW w:w="3109" w:type="dxa"/>
            <w:vAlign w:val="center"/>
          </w:tcPr>
          <w:p w14:paraId="0F204F3D"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总可可固形物</w:t>
            </w:r>
            <w:proofErr w:type="gramStart"/>
            <w:r w:rsidRPr="005C0B7F">
              <w:rPr>
                <w:rFonts w:asciiTheme="minorEastAsia" w:eastAsiaTheme="minorEastAsia" w:hAnsiTheme="minorEastAsia" w:cs="宋体" w:hint="eastAsia"/>
                <w:color w:val="000000"/>
                <w:sz w:val="21"/>
                <w:szCs w:val="21"/>
              </w:rPr>
              <w:t>(以干物质计)</w:t>
            </w:r>
            <w:proofErr w:type="gramEnd"/>
            <w:r w:rsidRPr="005C0B7F">
              <w:rPr>
                <w:rFonts w:asciiTheme="minorEastAsia" w:eastAsiaTheme="minorEastAsia" w:hAnsiTheme="minorEastAsia" w:cs="宋体" w:hint="eastAsia"/>
                <w:color w:val="000000"/>
                <w:sz w:val="21"/>
                <w:szCs w:val="21"/>
              </w:rPr>
              <w:t xml:space="preserve"> /（g/100g）</w:t>
            </w:r>
          </w:p>
        </w:tc>
        <w:tc>
          <w:tcPr>
            <w:tcW w:w="650" w:type="dxa"/>
            <w:vAlign w:val="center"/>
          </w:tcPr>
          <w:p w14:paraId="658C8790"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≥35</w:t>
            </w:r>
          </w:p>
        </w:tc>
        <w:tc>
          <w:tcPr>
            <w:tcW w:w="712" w:type="dxa"/>
            <w:vAlign w:val="center"/>
          </w:tcPr>
          <w:p w14:paraId="5B398630"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c>
          <w:tcPr>
            <w:tcW w:w="857" w:type="dxa"/>
            <w:vAlign w:val="center"/>
          </w:tcPr>
          <w:p w14:paraId="48DDC856"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≥25</w:t>
            </w:r>
          </w:p>
        </w:tc>
        <w:tc>
          <w:tcPr>
            <w:tcW w:w="758" w:type="dxa"/>
            <w:vAlign w:val="center"/>
          </w:tcPr>
          <w:p w14:paraId="7F5B7077"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c>
          <w:tcPr>
            <w:tcW w:w="3260" w:type="dxa"/>
            <w:tcMar>
              <w:left w:w="0" w:type="dxa"/>
              <w:right w:w="0" w:type="dxa"/>
            </w:tcMar>
            <w:vAlign w:val="center"/>
          </w:tcPr>
          <w:p w14:paraId="71F694A4" w14:textId="77777777" w:rsidR="005C0B7F" w:rsidRPr="005C0B7F" w:rsidRDefault="005C0B7F" w:rsidP="005C0B7F">
            <w:pPr>
              <w:spacing w:line="240" w:lineRule="auto"/>
              <w:ind w:firstLineChars="0" w:firstLine="0"/>
              <w:jc w:val="center"/>
              <w:rPr>
                <w:rFonts w:asciiTheme="minorEastAsia" w:eastAsiaTheme="minorEastAsia" w:hAnsiTheme="minorEastAsia" w:cs="宋体" w:hint="eastAsia"/>
                <w:color w:val="000000"/>
                <w:sz w:val="21"/>
              </w:rPr>
            </w:pPr>
            <w:r w:rsidRPr="005C0B7F">
              <w:rPr>
                <w:rFonts w:asciiTheme="minorEastAsia" w:eastAsiaTheme="minorEastAsia" w:hAnsiTheme="minorEastAsia" w:cs="宋体" w:hint="eastAsia"/>
                <w:color w:val="000000"/>
                <w:sz w:val="21"/>
              </w:rPr>
              <w:t>≥35（黑巧克力部分），</w:t>
            </w:r>
          </w:p>
          <w:p w14:paraId="1BB14AE5"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≥25（牛奶巧克力部分）</w:t>
            </w:r>
          </w:p>
        </w:tc>
      </w:tr>
      <w:tr w:rsidR="005C0B7F" w:rsidRPr="005C0B7F" w14:paraId="1A45F5AC" w14:textId="77777777" w:rsidTr="009D6B0D">
        <w:trPr>
          <w:jc w:val="center"/>
        </w:trPr>
        <w:tc>
          <w:tcPr>
            <w:tcW w:w="3109" w:type="dxa"/>
            <w:vAlign w:val="center"/>
          </w:tcPr>
          <w:p w14:paraId="50CCDB95"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非脂可可固形物</w:t>
            </w:r>
            <w:proofErr w:type="gramStart"/>
            <w:r w:rsidRPr="005C0B7F">
              <w:rPr>
                <w:rFonts w:asciiTheme="minorEastAsia" w:eastAsiaTheme="minorEastAsia" w:hAnsiTheme="minorEastAsia" w:cs="宋体" w:hint="eastAsia"/>
                <w:color w:val="000000"/>
                <w:sz w:val="21"/>
                <w:szCs w:val="21"/>
              </w:rPr>
              <w:t>(以干物质计)</w:t>
            </w:r>
            <w:proofErr w:type="gramEnd"/>
            <w:r w:rsidRPr="005C0B7F">
              <w:rPr>
                <w:rFonts w:asciiTheme="minorEastAsia" w:eastAsiaTheme="minorEastAsia" w:hAnsiTheme="minorEastAsia" w:cs="宋体" w:hint="eastAsia"/>
                <w:color w:val="000000"/>
                <w:sz w:val="21"/>
                <w:szCs w:val="21"/>
              </w:rPr>
              <w:t xml:space="preserve"> /（g/100g）</w:t>
            </w:r>
          </w:p>
        </w:tc>
        <w:tc>
          <w:tcPr>
            <w:tcW w:w="650" w:type="dxa"/>
            <w:vAlign w:val="center"/>
          </w:tcPr>
          <w:p w14:paraId="5E10B9AB"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≥14</w:t>
            </w:r>
          </w:p>
        </w:tc>
        <w:tc>
          <w:tcPr>
            <w:tcW w:w="712" w:type="dxa"/>
            <w:vAlign w:val="center"/>
          </w:tcPr>
          <w:p w14:paraId="42AFCD75"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c>
          <w:tcPr>
            <w:tcW w:w="857" w:type="dxa"/>
            <w:vAlign w:val="center"/>
          </w:tcPr>
          <w:p w14:paraId="6D69D067"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≥2.5</w:t>
            </w:r>
          </w:p>
        </w:tc>
        <w:tc>
          <w:tcPr>
            <w:tcW w:w="758" w:type="dxa"/>
            <w:vAlign w:val="center"/>
          </w:tcPr>
          <w:p w14:paraId="0F6CE387"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c>
          <w:tcPr>
            <w:tcW w:w="3260" w:type="dxa"/>
            <w:tcMar>
              <w:left w:w="0" w:type="dxa"/>
              <w:right w:w="0" w:type="dxa"/>
            </w:tcMar>
            <w:vAlign w:val="center"/>
          </w:tcPr>
          <w:p w14:paraId="5F6158EE" w14:textId="77777777" w:rsidR="005C0B7F" w:rsidRPr="005C0B7F" w:rsidRDefault="005C0B7F" w:rsidP="005C0B7F">
            <w:pPr>
              <w:spacing w:line="240" w:lineRule="auto"/>
              <w:ind w:firstLineChars="0" w:firstLine="0"/>
              <w:jc w:val="center"/>
              <w:rPr>
                <w:rFonts w:asciiTheme="minorEastAsia" w:eastAsiaTheme="minorEastAsia" w:hAnsiTheme="minorEastAsia" w:cs="宋体" w:hint="eastAsia"/>
                <w:color w:val="000000"/>
                <w:sz w:val="21"/>
              </w:rPr>
            </w:pPr>
            <w:r w:rsidRPr="005C0B7F">
              <w:rPr>
                <w:rFonts w:asciiTheme="minorEastAsia" w:eastAsiaTheme="minorEastAsia" w:hAnsiTheme="minorEastAsia" w:cs="宋体" w:hint="eastAsia"/>
                <w:color w:val="000000"/>
                <w:sz w:val="21"/>
              </w:rPr>
              <w:t>≥14（黑巧克力部分），</w:t>
            </w:r>
          </w:p>
          <w:p w14:paraId="349D86B7"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≥2.5（牛奶巧克力部分）</w:t>
            </w:r>
          </w:p>
        </w:tc>
      </w:tr>
      <w:tr w:rsidR="005C0B7F" w:rsidRPr="005C0B7F" w14:paraId="12851490" w14:textId="77777777" w:rsidTr="009D6B0D">
        <w:trPr>
          <w:jc w:val="center"/>
        </w:trPr>
        <w:tc>
          <w:tcPr>
            <w:tcW w:w="3109" w:type="dxa"/>
            <w:vAlign w:val="center"/>
          </w:tcPr>
          <w:p w14:paraId="08EE7D23"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总乳固体</w:t>
            </w:r>
            <w:proofErr w:type="gramStart"/>
            <w:r w:rsidRPr="005C0B7F">
              <w:rPr>
                <w:rFonts w:asciiTheme="minorEastAsia" w:eastAsiaTheme="minorEastAsia" w:hAnsiTheme="minorEastAsia" w:cs="宋体" w:hint="eastAsia"/>
                <w:color w:val="000000"/>
                <w:sz w:val="21"/>
                <w:szCs w:val="21"/>
              </w:rPr>
              <w:t>(以干物质计)</w:t>
            </w:r>
            <w:proofErr w:type="gramEnd"/>
            <w:r w:rsidRPr="005C0B7F">
              <w:rPr>
                <w:rFonts w:asciiTheme="minorEastAsia" w:eastAsiaTheme="minorEastAsia" w:hAnsiTheme="minorEastAsia" w:cs="宋体" w:hint="eastAsia"/>
                <w:color w:val="000000"/>
                <w:sz w:val="21"/>
                <w:szCs w:val="21"/>
              </w:rPr>
              <w:t xml:space="preserve"> /（g/100g）</w:t>
            </w:r>
          </w:p>
        </w:tc>
        <w:tc>
          <w:tcPr>
            <w:tcW w:w="650" w:type="dxa"/>
            <w:vAlign w:val="center"/>
          </w:tcPr>
          <w:p w14:paraId="40435D4A"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c>
          <w:tcPr>
            <w:tcW w:w="712" w:type="dxa"/>
            <w:vAlign w:val="center"/>
          </w:tcPr>
          <w:p w14:paraId="735EB4D9"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≥14</w:t>
            </w:r>
          </w:p>
        </w:tc>
        <w:tc>
          <w:tcPr>
            <w:tcW w:w="857" w:type="dxa"/>
            <w:vAlign w:val="center"/>
          </w:tcPr>
          <w:p w14:paraId="134CE84A"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≥12</w:t>
            </w:r>
          </w:p>
        </w:tc>
        <w:tc>
          <w:tcPr>
            <w:tcW w:w="758" w:type="dxa"/>
            <w:vAlign w:val="center"/>
          </w:tcPr>
          <w:p w14:paraId="08781150"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≥14</w:t>
            </w:r>
          </w:p>
        </w:tc>
        <w:tc>
          <w:tcPr>
            <w:tcW w:w="3260" w:type="dxa"/>
            <w:tcMar>
              <w:left w:w="0" w:type="dxa"/>
              <w:right w:w="0" w:type="dxa"/>
            </w:tcMar>
            <w:vAlign w:val="center"/>
          </w:tcPr>
          <w:p w14:paraId="013CE6E9" w14:textId="77777777" w:rsidR="005C0B7F" w:rsidRPr="005C0B7F" w:rsidRDefault="005C0B7F" w:rsidP="005C0B7F">
            <w:pPr>
              <w:spacing w:line="240" w:lineRule="auto"/>
              <w:ind w:firstLineChars="0" w:firstLine="0"/>
              <w:jc w:val="center"/>
              <w:rPr>
                <w:rFonts w:asciiTheme="minorEastAsia" w:eastAsiaTheme="minorEastAsia" w:hAnsiTheme="minorEastAsia" w:cs="宋体" w:hint="eastAsia"/>
                <w:color w:val="000000"/>
                <w:sz w:val="21"/>
              </w:rPr>
            </w:pPr>
            <w:r w:rsidRPr="005C0B7F">
              <w:rPr>
                <w:rFonts w:asciiTheme="minorEastAsia" w:eastAsiaTheme="minorEastAsia" w:hAnsiTheme="minorEastAsia" w:cs="宋体" w:hint="eastAsia"/>
                <w:color w:val="000000"/>
                <w:sz w:val="21"/>
              </w:rPr>
              <w:t>≥14（白巧克力和其他巧克力部分）</w:t>
            </w:r>
          </w:p>
          <w:p w14:paraId="187318A4"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≥12（牛奶巧克力部分）</w:t>
            </w:r>
          </w:p>
        </w:tc>
      </w:tr>
      <w:tr w:rsidR="005C0B7F" w:rsidRPr="005C0B7F" w14:paraId="63B8A84B" w14:textId="77777777" w:rsidTr="009D6B0D">
        <w:trPr>
          <w:jc w:val="center"/>
        </w:trPr>
        <w:tc>
          <w:tcPr>
            <w:tcW w:w="3109" w:type="dxa"/>
            <w:vAlign w:val="center"/>
          </w:tcPr>
          <w:p w14:paraId="16729425"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乳脂肪</w:t>
            </w:r>
            <w:proofErr w:type="gramStart"/>
            <w:r w:rsidRPr="005C0B7F">
              <w:rPr>
                <w:rFonts w:asciiTheme="minorEastAsia" w:eastAsiaTheme="minorEastAsia" w:hAnsiTheme="minorEastAsia" w:cs="宋体" w:hint="eastAsia"/>
                <w:color w:val="000000"/>
                <w:sz w:val="21"/>
                <w:szCs w:val="21"/>
              </w:rPr>
              <w:t>(以干物质计)</w:t>
            </w:r>
            <w:proofErr w:type="gramEnd"/>
            <w:r w:rsidRPr="005C0B7F">
              <w:rPr>
                <w:rFonts w:asciiTheme="minorEastAsia" w:eastAsiaTheme="minorEastAsia" w:hAnsiTheme="minorEastAsia" w:cs="宋体" w:hint="eastAsia"/>
                <w:color w:val="000000"/>
                <w:sz w:val="21"/>
                <w:szCs w:val="21"/>
              </w:rPr>
              <w:t xml:space="preserve"> /（g/100g）         </w:t>
            </w:r>
          </w:p>
        </w:tc>
        <w:tc>
          <w:tcPr>
            <w:tcW w:w="650" w:type="dxa"/>
            <w:vAlign w:val="center"/>
          </w:tcPr>
          <w:p w14:paraId="44AA17A3"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c>
          <w:tcPr>
            <w:tcW w:w="712" w:type="dxa"/>
            <w:vAlign w:val="center"/>
          </w:tcPr>
          <w:p w14:paraId="4C598F49"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≥2.5</w:t>
            </w:r>
          </w:p>
        </w:tc>
        <w:tc>
          <w:tcPr>
            <w:tcW w:w="857" w:type="dxa"/>
            <w:vAlign w:val="center"/>
          </w:tcPr>
          <w:p w14:paraId="22DAB532"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≥2.5</w:t>
            </w:r>
          </w:p>
        </w:tc>
        <w:tc>
          <w:tcPr>
            <w:tcW w:w="758" w:type="dxa"/>
            <w:vAlign w:val="center"/>
          </w:tcPr>
          <w:p w14:paraId="3B65F231"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≥2.5</w:t>
            </w:r>
          </w:p>
        </w:tc>
        <w:tc>
          <w:tcPr>
            <w:tcW w:w="3260" w:type="dxa"/>
            <w:tcMar>
              <w:left w:w="0" w:type="dxa"/>
              <w:right w:w="0" w:type="dxa"/>
            </w:tcMar>
            <w:vAlign w:val="center"/>
          </w:tcPr>
          <w:p w14:paraId="51091006"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≥2.5（白巧克力和牛奶巧克力部分）</w:t>
            </w:r>
          </w:p>
        </w:tc>
      </w:tr>
      <w:tr w:rsidR="005C0B7F" w:rsidRPr="005C0B7F" w14:paraId="2AA47957" w14:textId="77777777" w:rsidTr="009D6B0D">
        <w:trPr>
          <w:jc w:val="center"/>
        </w:trPr>
        <w:tc>
          <w:tcPr>
            <w:tcW w:w="3109" w:type="dxa"/>
            <w:vAlign w:val="center"/>
          </w:tcPr>
          <w:p w14:paraId="3E1D3796"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sz w:val="21"/>
                <w:szCs w:val="21"/>
              </w:rPr>
              <w:t>细度/</w:t>
            </w:r>
            <w:proofErr w:type="spellStart"/>
            <w:r w:rsidRPr="005C0B7F">
              <w:rPr>
                <w:rFonts w:asciiTheme="minorEastAsia" w:eastAsiaTheme="minorEastAsia" w:hAnsiTheme="minorEastAsia"/>
                <w:sz w:val="21"/>
                <w:szCs w:val="21"/>
              </w:rPr>
              <w:t>μ</w:t>
            </w:r>
            <w:proofErr w:type="gramStart"/>
            <w:r w:rsidRPr="005C0B7F">
              <w:rPr>
                <w:rFonts w:asciiTheme="minorEastAsia" w:eastAsiaTheme="minorEastAsia" w:hAnsiTheme="minorEastAsia"/>
                <w:sz w:val="21"/>
                <w:szCs w:val="21"/>
              </w:rPr>
              <w:t>m</w:t>
            </w:r>
            <w:proofErr w:type="spellEnd"/>
            <w:r w:rsidRPr="005C0B7F">
              <w:rPr>
                <w:rFonts w:asciiTheme="minorEastAsia" w:eastAsiaTheme="minorEastAsia" w:hAnsiTheme="minorEastAsia" w:hint="eastAsia"/>
                <w:sz w:val="21"/>
                <w:szCs w:val="21"/>
              </w:rPr>
              <w:t xml:space="preserve">  </w:t>
            </w:r>
            <w:r w:rsidRPr="005C0B7F">
              <w:rPr>
                <w:rFonts w:asciiTheme="minorEastAsia" w:eastAsiaTheme="minorEastAsia" w:hAnsiTheme="minorEastAsia"/>
                <w:sz w:val="21"/>
                <w:szCs w:val="21"/>
              </w:rPr>
              <w:t>≤</w:t>
            </w:r>
            <w:proofErr w:type="gramEnd"/>
          </w:p>
        </w:tc>
        <w:tc>
          <w:tcPr>
            <w:tcW w:w="2977" w:type="dxa"/>
            <w:gridSpan w:val="4"/>
            <w:vAlign w:val="center"/>
          </w:tcPr>
          <w:p w14:paraId="01EA5661"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sz w:val="21"/>
                <w:szCs w:val="21"/>
              </w:rPr>
              <w:t>35</w:t>
            </w:r>
          </w:p>
        </w:tc>
        <w:tc>
          <w:tcPr>
            <w:tcW w:w="3260" w:type="dxa"/>
            <w:tcMar>
              <w:left w:w="0" w:type="dxa"/>
              <w:right w:w="0" w:type="dxa"/>
            </w:tcMar>
            <w:vAlign w:val="center"/>
          </w:tcPr>
          <w:p w14:paraId="16007566"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r>
      <w:tr w:rsidR="005C0B7F" w:rsidRPr="005C0B7F" w14:paraId="480CD7F4" w14:textId="77777777" w:rsidTr="009D6B0D">
        <w:trPr>
          <w:trHeight w:val="214"/>
          <w:jc w:val="center"/>
        </w:trPr>
        <w:tc>
          <w:tcPr>
            <w:tcW w:w="3109" w:type="dxa"/>
            <w:vAlign w:val="center"/>
          </w:tcPr>
          <w:p w14:paraId="02CFBA54"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巧克力制品中巧克力的质量分数/(g/100g）</w:t>
            </w:r>
          </w:p>
        </w:tc>
        <w:tc>
          <w:tcPr>
            <w:tcW w:w="650" w:type="dxa"/>
            <w:vAlign w:val="center"/>
          </w:tcPr>
          <w:p w14:paraId="762BD312"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c>
          <w:tcPr>
            <w:tcW w:w="712" w:type="dxa"/>
            <w:vAlign w:val="center"/>
          </w:tcPr>
          <w:p w14:paraId="0A4D6057"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c>
          <w:tcPr>
            <w:tcW w:w="857" w:type="dxa"/>
            <w:vAlign w:val="center"/>
          </w:tcPr>
          <w:p w14:paraId="5575AB51"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c>
          <w:tcPr>
            <w:tcW w:w="758" w:type="dxa"/>
            <w:vAlign w:val="center"/>
          </w:tcPr>
          <w:p w14:paraId="1E3A27BB"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cs="宋体" w:hint="eastAsia"/>
                <w:color w:val="000000"/>
                <w:sz w:val="21"/>
                <w:szCs w:val="21"/>
              </w:rPr>
              <w:t>—</w:t>
            </w:r>
          </w:p>
        </w:tc>
        <w:tc>
          <w:tcPr>
            <w:tcW w:w="3260" w:type="dxa"/>
            <w:tcMar>
              <w:left w:w="0" w:type="dxa"/>
              <w:right w:w="0" w:type="dxa"/>
            </w:tcMar>
            <w:vAlign w:val="center"/>
          </w:tcPr>
          <w:p w14:paraId="3812FA97" w14:textId="77777777" w:rsidR="005C0B7F" w:rsidRPr="005C0B7F" w:rsidRDefault="005C0B7F" w:rsidP="005C0B7F">
            <w:pPr>
              <w:spacing w:line="240" w:lineRule="auto"/>
              <w:ind w:firstLineChars="0" w:firstLine="0"/>
              <w:jc w:val="center"/>
              <w:rPr>
                <w:rFonts w:asciiTheme="minorEastAsia" w:eastAsiaTheme="minorEastAsia" w:hAnsiTheme="minorEastAsia" w:cs="宋体" w:hint="eastAsia"/>
                <w:sz w:val="21"/>
              </w:rPr>
            </w:pPr>
            <w:r w:rsidRPr="005C0B7F">
              <w:rPr>
                <w:rFonts w:asciiTheme="minorEastAsia" w:eastAsiaTheme="minorEastAsia" w:hAnsiTheme="minorEastAsia" w:cs="宋体" w:hint="eastAsia"/>
                <w:sz w:val="21"/>
              </w:rPr>
              <w:t>≥25%；</w:t>
            </w:r>
          </w:p>
          <w:p w14:paraId="4B243B89" w14:textId="77777777" w:rsidR="005C0B7F" w:rsidRPr="005C0B7F" w:rsidRDefault="005C0B7F" w:rsidP="005C0B7F">
            <w:pPr>
              <w:pStyle w:val="aff"/>
              <w:widowControl w:val="0"/>
              <w:rPr>
                <w:rFonts w:asciiTheme="minorEastAsia" w:eastAsiaTheme="minorEastAsia" w:hAnsiTheme="minorEastAsia"/>
                <w:sz w:val="21"/>
                <w:szCs w:val="21"/>
              </w:rPr>
            </w:pPr>
          </w:p>
        </w:tc>
      </w:tr>
      <w:tr w:rsidR="005C0B7F" w:rsidRPr="005C0B7F" w14:paraId="4531E285" w14:textId="77777777" w:rsidTr="009D6B0D">
        <w:trPr>
          <w:jc w:val="center"/>
        </w:trPr>
        <w:tc>
          <w:tcPr>
            <w:tcW w:w="3109" w:type="dxa"/>
            <w:vAlign w:val="center"/>
          </w:tcPr>
          <w:p w14:paraId="2FC575AC"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hint="eastAsia"/>
                <w:sz w:val="21"/>
                <w:szCs w:val="21"/>
              </w:rPr>
              <w:t>酸价（以脂肪计）（KOH）/</w:t>
            </w:r>
            <w:proofErr w:type="gramStart"/>
            <w:r w:rsidRPr="005C0B7F">
              <w:rPr>
                <w:rFonts w:asciiTheme="minorEastAsia" w:eastAsiaTheme="minorEastAsia" w:hAnsiTheme="minorEastAsia" w:hint="eastAsia"/>
                <w:sz w:val="21"/>
                <w:szCs w:val="21"/>
              </w:rPr>
              <w:t>(mg/g)</w:t>
            </w:r>
            <w:proofErr w:type="gramEnd"/>
            <w:r w:rsidRPr="005C0B7F">
              <w:rPr>
                <w:rFonts w:asciiTheme="minorEastAsia" w:eastAsiaTheme="minorEastAsia" w:hAnsiTheme="minorEastAsia" w:cs="Courier New" w:hint="eastAsia"/>
                <w:sz w:val="21"/>
                <w:szCs w:val="21"/>
              </w:rPr>
              <w:t>≤</w:t>
            </w:r>
          </w:p>
        </w:tc>
        <w:tc>
          <w:tcPr>
            <w:tcW w:w="6237" w:type="dxa"/>
            <w:gridSpan w:val="5"/>
            <w:vAlign w:val="center"/>
          </w:tcPr>
          <w:p w14:paraId="45400CA5" w14:textId="77777777" w:rsidR="005C0B7F" w:rsidRPr="005C0B7F" w:rsidRDefault="005C0B7F" w:rsidP="005C0B7F">
            <w:pPr>
              <w:pStyle w:val="aff"/>
              <w:widowControl w:val="0"/>
              <w:rPr>
                <w:rFonts w:asciiTheme="minorEastAsia" w:eastAsiaTheme="minorEastAsia" w:hAnsiTheme="minorEastAsia"/>
                <w:sz w:val="21"/>
                <w:szCs w:val="21"/>
              </w:rPr>
            </w:pPr>
            <w:r w:rsidRPr="005C0B7F">
              <w:rPr>
                <w:rFonts w:asciiTheme="minorEastAsia" w:eastAsiaTheme="minorEastAsia" w:hAnsiTheme="minorEastAsia" w:hint="eastAsia"/>
                <w:sz w:val="21"/>
                <w:szCs w:val="21"/>
              </w:rPr>
              <w:t>3</w:t>
            </w:r>
          </w:p>
        </w:tc>
      </w:tr>
      <w:tr w:rsidR="005C0B7F" w:rsidRPr="005C0B7F" w14:paraId="6D8FB69D" w14:textId="77777777" w:rsidTr="009D6B0D">
        <w:trPr>
          <w:jc w:val="center"/>
        </w:trPr>
        <w:tc>
          <w:tcPr>
            <w:tcW w:w="3109" w:type="dxa"/>
            <w:tcBorders>
              <w:bottom w:val="single" w:sz="8" w:space="0" w:color="auto"/>
            </w:tcBorders>
            <w:vAlign w:val="center"/>
          </w:tcPr>
          <w:p w14:paraId="25CBD438" w14:textId="77777777" w:rsidR="005C0B7F" w:rsidRPr="005C0B7F" w:rsidRDefault="005C0B7F" w:rsidP="005C0B7F">
            <w:pPr>
              <w:pStyle w:val="aff"/>
              <w:widowControl w:val="0"/>
              <w:rPr>
                <w:rFonts w:asciiTheme="minorEastAsia" w:eastAsiaTheme="minorEastAsia" w:hAnsiTheme="minorEastAsia" w:cs="宋体" w:hint="eastAsia"/>
                <w:sz w:val="21"/>
                <w:szCs w:val="21"/>
              </w:rPr>
            </w:pPr>
            <w:r w:rsidRPr="005C0B7F">
              <w:rPr>
                <w:rFonts w:asciiTheme="minorEastAsia" w:eastAsiaTheme="minorEastAsia" w:hAnsiTheme="minorEastAsia" w:cs="宋体" w:hint="eastAsia"/>
                <w:sz w:val="21"/>
                <w:szCs w:val="21"/>
              </w:rPr>
              <w:t>水分/(g/100g</w:t>
            </w:r>
            <w:proofErr w:type="gramStart"/>
            <w:r w:rsidRPr="005C0B7F">
              <w:rPr>
                <w:rFonts w:asciiTheme="minorEastAsia" w:eastAsiaTheme="minorEastAsia" w:hAnsiTheme="minorEastAsia" w:cs="宋体" w:hint="eastAsia"/>
                <w:sz w:val="21"/>
                <w:szCs w:val="21"/>
              </w:rPr>
              <w:t>)  ≤</w:t>
            </w:r>
            <w:proofErr w:type="gramEnd"/>
          </w:p>
        </w:tc>
        <w:tc>
          <w:tcPr>
            <w:tcW w:w="6237" w:type="dxa"/>
            <w:gridSpan w:val="5"/>
            <w:tcBorders>
              <w:bottom w:val="single" w:sz="8" w:space="0" w:color="auto"/>
            </w:tcBorders>
            <w:vAlign w:val="center"/>
          </w:tcPr>
          <w:p w14:paraId="17994243" w14:textId="77777777" w:rsidR="005C0B7F" w:rsidRPr="005C0B7F" w:rsidRDefault="005C0B7F" w:rsidP="005C0B7F">
            <w:pPr>
              <w:pStyle w:val="aff"/>
              <w:widowControl w:val="0"/>
              <w:rPr>
                <w:rFonts w:asciiTheme="minorEastAsia" w:eastAsiaTheme="minorEastAsia" w:hAnsiTheme="minorEastAsia" w:hint="eastAsia"/>
                <w:sz w:val="21"/>
                <w:szCs w:val="21"/>
              </w:rPr>
            </w:pPr>
            <w:r w:rsidRPr="005C0B7F">
              <w:rPr>
                <w:rFonts w:asciiTheme="minorEastAsia" w:eastAsiaTheme="minorEastAsia" w:hAnsiTheme="minorEastAsia" w:hint="eastAsia"/>
                <w:sz w:val="21"/>
                <w:szCs w:val="21"/>
              </w:rPr>
              <w:t>3.0</w:t>
            </w:r>
          </w:p>
        </w:tc>
      </w:tr>
      <w:tr w:rsidR="005C0B7F" w:rsidRPr="005C0B7F" w14:paraId="4BE98EDF" w14:textId="77777777" w:rsidTr="009D6B0D">
        <w:trPr>
          <w:jc w:val="center"/>
        </w:trPr>
        <w:tc>
          <w:tcPr>
            <w:tcW w:w="9346" w:type="dxa"/>
            <w:gridSpan w:val="6"/>
            <w:tcBorders>
              <w:top w:val="single" w:sz="8" w:space="0" w:color="auto"/>
              <w:bottom w:val="single" w:sz="8" w:space="0" w:color="auto"/>
            </w:tcBorders>
            <w:vAlign w:val="center"/>
          </w:tcPr>
          <w:p w14:paraId="3D5DA0AB" w14:textId="77777777" w:rsidR="005C0B7F" w:rsidRPr="005C0B7F" w:rsidRDefault="005C0B7F" w:rsidP="005C0B7F">
            <w:pPr>
              <w:spacing w:line="240" w:lineRule="auto"/>
              <w:ind w:firstLineChars="0" w:firstLine="0"/>
              <w:rPr>
                <w:rFonts w:asciiTheme="minorEastAsia" w:eastAsiaTheme="minorEastAsia" w:hAnsiTheme="minorEastAsia" w:cs="宋体" w:hint="eastAsia"/>
                <w:sz w:val="21"/>
              </w:rPr>
            </w:pPr>
            <w:r w:rsidRPr="005C0B7F">
              <w:rPr>
                <w:rFonts w:asciiTheme="minorEastAsia" w:eastAsiaTheme="minorEastAsia" w:hAnsiTheme="minorEastAsia" w:hint="eastAsia"/>
                <w:sz w:val="21"/>
                <w:vertAlign w:val="superscript"/>
              </w:rPr>
              <w:t>a</w:t>
            </w:r>
            <w:r w:rsidRPr="005C0B7F">
              <w:rPr>
                <w:rFonts w:asciiTheme="minorEastAsia" w:eastAsiaTheme="minorEastAsia" w:hAnsiTheme="minorEastAsia" w:cs="宋体" w:hint="eastAsia"/>
                <w:sz w:val="21"/>
              </w:rPr>
              <w:t>来源于可可的植物油脂</w:t>
            </w:r>
          </w:p>
        </w:tc>
      </w:tr>
    </w:tbl>
    <w:p w14:paraId="1D69ED61" w14:textId="131BD766" w:rsidR="001E4742" w:rsidRDefault="001E4742" w:rsidP="001E4742">
      <w:pPr>
        <w:pStyle w:val="2"/>
        <w:ind w:firstLine="562"/>
      </w:pPr>
      <w:r>
        <w:rPr>
          <w:rFonts w:hint="eastAsia"/>
        </w:rPr>
        <w:t>4.</w:t>
      </w:r>
      <w:r w:rsidR="002A13BC">
        <w:rPr>
          <w:rFonts w:hint="eastAsia"/>
        </w:rPr>
        <w:t>5</w:t>
      </w:r>
      <w:r>
        <w:rPr>
          <w:rFonts w:hint="eastAsia"/>
        </w:rPr>
        <w:t xml:space="preserve"> </w:t>
      </w:r>
      <w:r>
        <w:rPr>
          <w:rFonts w:hint="eastAsia"/>
        </w:rPr>
        <w:t>污染物限量</w:t>
      </w:r>
    </w:p>
    <w:p w14:paraId="360B6BDD" w14:textId="2DA7E787" w:rsidR="001E4742" w:rsidRDefault="001E4742" w:rsidP="001E4742">
      <w:pPr>
        <w:ind w:firstLine="480"/>
        <w:rPr>
          <w:rFonts w:hint="eastAsia"/>
        </w:rPr>
      </w:pPr>
      <w:r>
        <w:rPr>
          <w:rFonts w:hint="eastAsia"/>
        </w:rPr>
        <w:t>符合国标</w:t>
      </w:r>
      <w:r>
        <w:rPr>
          <w:rFonts w:hint="eastAsia"/>
        </w:rPr>
        <w:t>GB/T 19343</w:t>
      </w:r>
      <w:r>
        <w:rPr>
          <w:rFonts w:hint="eastAsia"/>
        </w:rPr>
        <w:t>和</w:t>
      </w:r>
      <w:r>
        <w:rPr>
          <w:rFonts w:hint="eastAsia"/>
        </w:rPr>
        <w:t>GB 2762</w:t>
      </w:r>
      <w:r>
        <w:rPr>
          <w:rFonts w:hint="eastAsia"/>
        </w:rPr>
        <w:t>的规定。</w:t>
      </w:r>
    </w:p>
    <w:p w14:paraId="7780A5D9" w14:textId="2865A55C" w:rsidR="001E4742" w:rsidRDefault="001E4742" w:rsidP="001E4742">
      <w:pPr>
        <w:pStyle w:val="2"/>
        <w:ind w:firstLine="562"/>
        <w:rPr>
          <w:rFonts w:hint="eastAsia"/>
        </w:rPr>
      </w:pPr>
      <w:r>
        <w:rPr>
          <w:rFonts w:hint="eastAsia"/>
        </w:rPr>
        <w:t>4.</w:t>
      </w:r>
      <w:r w:rsidR="002A13BC">
        <w:rPr>
          <w:rFonts w:hint="eastAsia"/>
        </w:rPr>
        <w:t xml:space="preserve">6 </w:t>
      </w:r>
      <w:r>
        <w:rPr>
          <w:rFonts w:hint="eastAsia"/>
        </w:rPr>
        <w:t>微生物限量</w:t>
      </w:r>
    </w:p>
    <w:p w14:paraId="1D676255" w14:textId="7B194293" w:rsidR="001E4742" w:rsidRDefault="001E4742" w:rsidP="001E4742">
      <w:pPr>
        <w:ind w:firstLine="480"/>
        <w:rPr>
          <w:rFonts w:hint="eastAsia"/>
        </w:rPr>
      </w:pPr>
      <w:r>
        <w:rPr>
          <w:rFonts w:hint="eastAsia"/>
        </w:rPr>
        <w:t>微生物符合国标</w:t>
      </w:r>
      <w:r>
        <w:rPr>
          <w:rFonts w:hint="eastAsia"/>
        </w:rPr>
        <w:t>GB/T 19343</w:t>
      </w:r>
      <w:r>
        <w:rPr>
          <w:rFonts w:hint="eastAsia"/>
        </w:rPr>
        <w:t>和</w:t>
      </w:r>
      <w:r>
        <w:rPr>
          <w:rFonts w:hint="eastAsia"/>
        </w:rPr>
        <w:t>GB 29921</w:t>
      </w:r>
      <w:r>
        <w:rPr>
          <w:rFonts w:hint="eastAsia"/>
        </w:rPr>
        <w:t>的规定，另外为了规范生产企业的生产卫生坏境和人员卫生，规定了菌落总数指标作为指示菌，主要参考了即食类产品的要求，从严进行规定，具体见表</w:t>
      </w:r>
      <w:r>
        <w:rPr>
          <w:rFonts w:hint="eastAsia"/>
        </w:rPr>
        <w:t>3</w:t>
      </w:r>
      <w:r>
        <w:rPr>
          <w:rFonts w:hint="eastAsia"/>
        </w:rPr>
        <w:t>规定。</w:t>
      </w:r>
    </w:p>
    <w:p w14:paraId="033FDF7F" w14:textId="77777777" w:rsidR="001E4742" w:rsidRDefault="001E4742" w:rsidP="001E4742">
      <w:pPr>
        <w:ind w:firstLineChars="0" w:firstLine="0"/>
        <w:jc w:val="center"/>
      </w:pPr>
      <w:r w:rsidRPr="001E4742">
        <w:t>表</w:t>
      </w:r>
      <w:r w:rsidRPr="001E4742">
        <w:t xml:space="preserve">3 </w:t>
      </w:r>
      <w:r w:rsidRPr="001E4742">
        <w:t>微生物指标</w:t>
      </w:r>
    </w:p>
    <w:tbl>
      <w:tblPr>
        <w:tblStyle w:val="af5"/>
        <w:tblW w:w="0" w:type="auto"/>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2117"/>
        <w:gridCol w:w="1415"/>
        <w:gridCol w:w="1415"/>
        <w:gridCol w:w="1415"/>
        <w:gridCol w:w="1416"/>
        <w:gridCol w:w="1556"/>
      </w:tblGrid>
      <w:tr w:rsidR="002A13BC" w:rsidRPr="002A13BC" w14:paraId="345FB25E" w14:textId="77777777" w:rsidTr="002A13BC">
        <w:trPr>
          <w:trHeight w:val="196"/>
          <w:tblHeader/>
        </w:trPr>
        <w:tc>
          <w:tcPr>
            <w:tcW w:w="2117" w:type="dxa"/>
            <w:vMerge w:val="restart"/>
            <w:tcBorders>
              <w:top w:val="single" w:sz="8" w:space="0" w:color="auto"/>
            </w:tcBorders>
            <w:vAlign w:val="center"/>
          </w:tcPr>
          <w:p w14:paraId="50586E7E" w14:textId="77777777" w:rsidR="002A13BC" w:rsidRPr="002A13BC" w:rsidRDefault="002A13BC" w:rsidP="002A13BC">
            <w:pPr>
              <w:ind w:firstLineChars="0" w:firstLine="0"/>
              <w:jc w:val="center"/>
              <w:rPr>
                <w:sz w:val="21"/>
                <w:szCs w:val="18"/>
              </w:rPr>
            </w:pPr>
            <w:r w:rsidRPr="002A13BC">
              <w:rPr>
                <w:sz w:val="21"/>
                <w:szCs w:val="18"/>
              </w:rPr>
              <w:t>项目</w:t>
            </w:r>
          </w:p>
        </w:tc>
        <w:tc>
          <w:tcPr>
            <w:tcW w:w="5661" w:type="dxa"/>
            <w:gridSpan w:val="4"/>
            <w:tcBorders>
              <w:top w:val="single" w:sz="8" w:space="0" w:color="auto"/>
              <w:bottom w:val="single" w:sz="8" w:space="0" w:color="auto"/>
            </w:tcBorders>
            <w:vAlign w:val="center"/>
          </w:tcPr>
          <w:p w14:paraId="6B93C77D" w14:textId="77777777" w:rsidR="002A13BC" w:rsidRPr="002A13BC" w:rsidRDefault="002A13BC" w:rsidP="002A13BC">
            <w:pPr>
              <w:ind w:firstLineChars="0" w:firstLine="0"/>
              <w:jc w:val="center"/>
              <w:rPr>
                <w:sz w:val="21"/>
                <w:szCs w:val="18"/>
              </w:rPr>
            </w:pPr>
            <w:r w:rsidRPr="002A13BC">
              <w:rPr>
                <w:sz w:val="21"/>
                <w:szCs w:val="18"/>
              </w:rPr>
              <w:t>采样方案</w:t>
            </w:r>
            <w:r w:rsidRPr="002A13BC">
              <w:rPr>
                <w:sz w:val="21"/>
                <w:szCs w:val="18"/>
                <w:vertAlign w:val="superscript"/>
              </w:rPr>
              <w:t>a</w:t>
            </w:r>
            <w:r w:rsidRPr="002A13BC">
              <w:rPr>
                <w:sz w:val="21"/>
                <w:szCs w:val="18"/>
              </w:rPr>
              <w:t>及限量</w:t>
            </w:r>
          </w:p>
        </w:tc>
        <w:tc>
          <w:tcPr>
            <w:tcW w:w="1556" w:type="dxa"/>
            <w:vMerge w:val="restart"/>
            <w:tcBorders>
              <w:top w:val="single" w:sz="8" w:space="0" w:color="auto"/>
            </w:tcBorders>
            <w:vAlign w:val="center"/>
          </w:tcPr>
          <w:p w14:paraId="1F58FFF2" w14:textId="77777777" w:rsidR="002A13BC" w:rsidRPr="002A13BC" w:rsidRDefault="002A13BC" w:rsidP="002A13BC">
            <w:pPr>
              <w:ind w:firstLineChars="0" w:firstLine="0"/>
              <w:jc w:val="center"/>
              <w:rPr>
                <w:sz w:val="21"/>
                <w:szCs w:val="18"/>
              </w:rPr>
            </w:pPr>
            <w:r w:rsidRPr="002A13BC">
              <w:rPr>
                <w:sz w:val="21"/>
                <w:szCs w:val="18"/>
              </w:rPr>
              <w:t>检测方法</w:t>
            </w:r>
          </w:p>
        </w:tc>
      </w:tr>
      <w:tr w:rsidR="002A13BC" w:rsidRPr="002A13BC" w14:paraId="3004E678" w14:textId="77777777" w:rsidTr="002A13BC">
        <w:tc>
          <w:tcPr>
            <w:tcW w:w="2117" w:type="dxa"/>
            <w:vMerge/>
            <w:vAlign w:val="center"/>
          </w:tcPr>
          <w:p w14:paraId="564A969D" w14:textId="77777777" w:rsidR="002A13BC" w:rsidRPr="002A13BC" w:rsidRDefault="002A13BC" w:rsidP="002A13BC">
            <w:pPr>
              <w:ind w:firstLineChars="0" w:firstLine="0"/>
              <w:jc w:val="center"/>
              <w:rPr>
                <w:sz w:val="21"/>
                <w:szCs w:val="18"/>
              </w:rPr>
            </w:pPr>
          </w:p>
        </w:tc>
        <w:tc>
          <w:tcPr>
            <w:tcW w:w="1415" w:type="dxa"/>
            <w:tcBorders>
              <w:top w:val="single" w:sz="8" w:space="0" w:color="auto"/>
            </w:tcBorders>
          </w:tcPr>
          <w:p w14:paraId="0680F668" w14:textId="77777777" w:rsidR="002A13BC" w:rsidRPr="002A13BC" w:rsidRDefault="002A13BC" w:rsidP="002A13BC">
            <w:pPr>
              <w:ind w:firstLineChars="0" w:firstLine="0"/>
              <w:jc w:val="center"/>
              <w:rPr>
                <w:sz w:val="21"/>
                <w:szCs w:val="18"/>
              </w:rPr>
            </w:pPr>
            <w:r w:rsidRPr="002A13BC">
              <w:rPr>
                <w:sz w:val="21"/>
                <w:szCs w:val="18"/>
              </w:rPr>
              <w:t>n</w:t>
            </w:r>
          </w:p>
        </w:tc>
        <w:tc>
          <w:tcPr>
            <w:tcW w:w="1415" w:type="dxa"/>
            <w:tcBorders>
              <w:top w:val="single" w:sz="8" w:space="0" w:color="auto"/>
            </w:tcBorders>
          </w:tcPr>
          <w:p w14:paraId="1C79A071" w14:textId="77777777" w:rsidR="002A13BC" w:rsidRPr="002A13BC" w:rsidRDefault="002A13BC" w:rsidP="002A13BC">
            <w:pPr>
              <w:ind w:firstLineChars="0" w:firstLine="0"/>
              <w:jc w:val="center"/>
              <w:rPr>
                <w:sz w:val="21"/>
                <w:szCs w:val="18"/>
              </w:rPr>
            </w:pPr>
            <w:r w:rsidRPr="002A13BC">
              <w:rPr>
                <w:sz w:val="21"/>
                <w:szCs w:val="18"/>
              </w:rPr>
              <w:t>c</w:t>
            </w:r>
          </w:p>
        </w:tc>
        <w:tc>
          <w:tcPr>
            <w:tcW w:w="1415" w:type="dxa"/>
            <w:tcBorders>
              <w:top w:val="single" w:sz="8" w:space="0" w:color="auto"/>
            </w:tcBorders>
          </w:tcPr>
          <w:p w14:paraId="010CCC6C" w14:textId="77777777" w:rsidR="002A13BC" w:rsidRPr="002A13BC" w:rsidRDefault="002A13BC" w:rsidP="002A13BC">
            <w:pPr>
              <w:ind w:firstLineChars="0" w:firstLine="0"/>
              <w:jc w:val="center"/>
              <w:rPr>
                <w:sz w:val="21"/>
                <w:szCs w:val="18"/>
              </w:rPr>
            </w:pPr>
            <w:r w:rsidRPr="002A13BC">
              <w:rPr>
                <w:sz w:val="21"/>
                <w:szCs w:val="18"/>
              </w:rPr>
              <w:t>m</w:t>
            </w:r>
          </w:p>
        </w:tc>
        <w:tc>
          <w:tcPr>
            <w:tcW w:w="1416" w:type="dxa"/>
            <w:tcBorders>
              <w:top w:val="single" w:sz="8" w:space="0" w:color="auto"/>
            </w:tcBorders>
          </w:tcPr>
          <w:p w14:paraId="630AF5A4" w14:textId="77777777" w:rsidR="002A13BC" w:rsidRPr="002A13BC" w:rsidRDefault="002A13BC" w:rsidP="002A13BC">
            <w:pPr>
              <w:ind w:firstLineChars="0" w:firstLine="0"/>
              <w:jc w:val="center"/>
              <w:rPr>
                <w:sz w:val="21"/>
                <w:szCs w:val="18"/>
              </w:rPr>
            </w:pPr>
            <w:r w:rsidRPr="002A13BC">
              <w:rPr>
                <w:sz w:val="21"/>
                <w:szCs w:val="18"/>
              </w:rPr>
              <w:t>M</w:t>
            </w:r>
          </w:p>
        </w:tc>
        <w:tc>
          <w:tcPr>
            <w:tcW w:w="1556" w:type="dxa"/>
            <w:vMerge/>
            <w:vAlign w:val="center"/>
          </w:tcPr>
          <w:p w14:paraId="367E8D71" w14:textId="77777777" w:rsidR="002A13BC" w:rsidRPr="002A13BC" w:rsidRDefault="002A13BC" w:rsidP="002A13BC">
            <w:pPr>
              <w:ind w:firstLineChars="0" w:firstLine="0"/>
              <w:jc w:val="center"/>
              <w:rPr>
                <w:sz w:val="21"/>
                <w:szCs w:val="18"/>
              </w:rPr>
            </w:pPr>
          </w:p>
        </w:tc>
      </w:tr>
      <w:tr w:rsidR="002A13BC" w:rsidRPr="002A13BC" w14:paraId="0223D767" w14:textId="77777777" w:rsidTr="002A13BC">
        <w:tc>
          <w:tcPr>
            <w:tcW w:w="2117" w:type="dxa"/>
            <w:tcBorders>
              <w:top w:val="single" w:sz="8" w:space="0" w:color="auto"/>
            </w:tcBorders>
            <w:vAlign w:val="center"/>
          </w:tcPr>
          <w:p w14:paraId="470A48D5" w14:textId="77777777" w:rsidR="002A13BC" w:rsidRPr="002A13BC" w:rsidRDefault="002A13BC" w:rsidP="002A13BC">
            <w:pPr>
              <w:ind w:firstLineChars="0" w:firstLine="0"/>
              <w:jc w:val="center"/>
              <w:rPr>
                <w:sz w:val="21"/>
                <w:szCs w:val="18"/>
              </w:rPr>
            </w:pPr>
            <w:r w:rsidRPr="002A13BC">
              <w:rPr>
                <w:sz w:val="21"/>
                <w:szCs w:val="18"/>
              </w:rPr>
              <w:t>菌落总数</w:t>
            </w:r>
            <w:r w:rsidRPr="002A13BC">
              <w:rPr>
                <w:sz w:val="21"/>
                <w:szCs w:val="18"/>
                <w:vertAlign w:val="superscript"/>
              </w:rPr>
              <w:t>b</w:t>
            </w:r>
            <w:r w:rsidRPr="002A13BC">
              <w:rPr>
                <w:sz w:val="21"/>
                <w:szCs w:val="18"/>
              </w:rPr>
              <w:t>/</w:t>
            </w:r>
            <w:proofErr w:type="gramStart"/>
            <w:r w:rsidRPr="002A13BC">
              <w:rPr>
                <w:sz w:val="21"/>
                <w:szCs w:val="18"/>
              </w:rPr>
              <w:t>(CFU/g)</w:t>
            </w:r>
            <w:proofErr w:type="gramEnd"/>
          </w:p>
        </w:tc>
        <w:tc>
          <w:tcPr>
            <w:tcW w:w="1415" w:type="dxa"/>
            <w:tcBorders>
              <w:top w:val="single" w:sz="8" w:space="0" w:color="auto"/>
            </w:tcBorders>
          </w:tcPr>
          <w:p w14:paraId="7098F8E7" w14:textId="77777777" w:rsidR="002A13BC" w:rsidRPr="002A13BC" w:rsidRDefault="002A13BC" w:rsidP="002A13BC">
            <w:pPr>
              <w:ind w:firstLineChars="0" w:firstLine="0"/>
              <w:jc w:val="center"/>
              <w:rPr>
                <w:sz w:val="21"/>
                <w:szCs w:val="18"/>
              </w:rPr>
            </w:pPr>
            <w:r w:rsidRPr="002A13BC">
              <w:rPr>
                <w:sz w:val="21"/>
                <w:szCs w:val="18"/>
              </w:rPr>
              <w:t>5</w:t>
            </w:r>
          </w:p>
        </w:tc>
        <w:tc>
          <w:tcPr>
            <w:tcW w:w="1415" w:type="dxa"/>
            <w:tcBorders>
              <w:top w:val="single" w:sz="8" w:space="0" w:color="auto"/>
            </w:tcBorders>
          </w:tcPr>
          <w:p w14:paraId="3791BAD7" w14:textId="77777777" w:rsidR="002A13BC" w:rsidRPr="002A13BC" w:rsidRDefault="002A13BC" w:rsidP="002A13BC">
            <w:pPr>
              <w:ind w:firstLineChars="0" w:firstLine="0"/>
              <w:jc w:val="center"/>
              <w:rPr>
                <w:sz w:val="21"/>
                <w:szCs w:val="18"/>
              </w:rPr>
            </w:pPr>
            <w:r w:rsidRPr="002A13BC">
              <w:rPr>
                <w:sz w:val="21"/>
                <w:szCs w:val="18"/>
              </w:rPr>
              <w:t>2</w:t>
            </w:r>
          </w:p>
        </w:tc>
        <w:tc>
          <w:tcPr>
            <w:tcW w:w="1415" w:type="dxa"/>
            <w:tcBorders>
              <w:top w:val="single" w:sz="8" w:space="0" w:color="auto"/>
            </w:tcBorders>
          </w:tcPr>
          <w:p w14:paraId="6CB9ACEF" w14:textId="77777777" w:rsidR="002A13BC" w:rsidRPr="002A13BC" w:rsidRDefault="002A13BC" w:rsidP="002A13BC">
            <w:pPr>
              <w:ind w:firstLineChars="0" w:firstLine="0"/>
              <w:jc w:val="center"/>
              <w:rPr>
                <w:sz w:val="21"/>
                <w:szCs w:val="18"/>
              </w:rPr>
            </w:pPr>
            <w:r w:rsidRPr="002A13BC">
              <w:rPr>
                <w:sz w:val="21"/>
                <w:szCs w:val="18"/>
              </w:rPr>
              <w:t>10000</w:t>
            </w:r>
          </w:p>
        </w:tc>
        <w:tc>
          <w:tcPr>
            <w:tcW w:w="1416" w:type="dxa"/>
            <w:tcBorders>
              <w:top w:val="single" w:sz="8" w:space="0" w:color="auto"/>
            </w:tcBorders>
          </w:tcPr>
          <w:p w14:paraId="2A2C3D12" w14:textId="77777777" w:rsidR="002A13BC" w:rsidRPr="002A13BC" w:rsidRDefault="002A13BC" w:rsidP="002A13BC">
            <w:pPr>
              <w:ind w:firstLineChars="0" w:firstLine="0"/>
              <w:jc w:val="center"/>
              <w:rPr>
                <w:sz w:val="21"/>
                <w:szCs w:val="18"/>
              </w:rPr>
            </w:pPr>
            <w:r w:rsidRPr="002A13BC">
              <w:rPr>
                <w:sz w:val="21"/>
                <w:szCs w:val="18"/>
              </w:rPr>
              <w:t>50000</w:t>
            </w:r>
          </w:p>
        </w:tc>
        <w:tc>
          <w:tcPr>
            <w:tcW w:w="1556" w:type="dxa"/>
            <w:tcBorders>
              <w:top w:val="single" w:sz="8" w:space="0" w:color="auto"/>
            </w:tcBorders>
            <w:vAlign w:val="center"/>
          </w:tcPr>
          <w:p w14:paraId="7E2F92E8" w14:textId="77777777" w:rsidR="002A13BC" w:rsidRPr="002A13BC" w:rsidRDefault="002A13BC" w:rsidP="002A13BC">
            <w:pPr>
              <w:ind w:firstLineChars="0" w:firstLine="0"/>
              <w:jc w:val="center"/>
              <w:rPr>
                <w:sz w:val="21"/>
                <w:szCs w:val="18"/>
              </w:rPr>
            </w:pPr>
            <w:r w:rsidRPr="002A13BC">
              <w:rPr>
                <w:sz w:val="21"/>
                <w:szCs w:val="18"/>
              </w:rPr>
              <w:t>GB 4789.2</w:t>
            </w:r>
          </w:p>
        </w:tc>
      </w:tr>
      <w:tr w:rsidR="002A13BC" w:rsidRPr="002A13BC" w14:paraId="3F6B56F0" w14:textId="77777777" w:rsidTr="002A13BC">
        <w:tc>
          <w:tcPr>
            <w:tcW w:w="9334" w:type="dxa"/>
            <w:gridSpan w:val="6"/>
            <w:tcBorders>
              <w:top w:val="single" w:sz="8" w:space="0" w:color="auto"/>
              <w:bottom w:val="single" w:sz="8" w:space="0" w:color="auto"/>
            </w:tcBorders>
            <w:vAlign w:val="center"/>
          </w:tcPr>
          <w:p w14:paraId="340B4D7B" w14:textId="77777777" w:rsidR="002A13BC" w:rsidRPr="002A13BC" w:rsidRDefault="002A13BC" w:rsidP="002A13BC">
            <w:pPr>
              <w:ind w:firstLineChars="0" w:firstLine="0"/>
              <w:jc w:val="left"/>
              <w:rPr>
                <w:sz w:val="21"/>
                <w:szCs w:val="18"/>
              </w:rPr>
            </w:pPr>
            <w:r w:rsidRPr="002A13BC">
              <w:rPr>
                <w:sz w:val="21"/>
                <w:szCs w:val="18"/>
                <w:vertAlign w:val="superscript"/>
              </w:rPr>
              <w:t>a</w:t>
            </w:r>
            <w:r w:rsidRPr="002A13BC">
              <w:rPr>
                <w:sz w:val="21"/>
                <w:szCs w:val="18"/>
              </w:rPr>
              <w:t>样品的采集及处理按</w:t>
            </w:r>
            <w:r w:rsidRPr="002A13BC">
              <w:rPr>
                <w:sz w:val="21"/>
                <w:szCs w:val="18"/>
              </w:rPr>
              <w:t>GB4789.1</w:t>
            </w:r>
            <w:r w:rsidRPr="002A13BC">
              <w:rPr>
                <w:sz w:val="21"/>
                <w:szCs w:val="18"/>
              </w:rPr>
              <w:t>执行；</w:t>
            </w:r>
          </w:p>
          <w:p w14:paraId="30A830F8" w14:textId="77777777" w:rsidR="002A13BC" w:rsidRPr="002A13BC" w:rsidRDefault="002A13BC" w:rsidP="002A13BC">
            <w:pPr>
              <w:ind w:firstLineChars="0" w:firstLine="0"/>
              <w:jc w:val="left"/>
              <w:rPr>
                <w:sz w:val="21"/>
                <w:szCs w:val="18"/>
              </w:rPr>
            </w:pPr>
            <w:r w:rsidRPr="002A13BC">
              <w:rPr>
                <w:sz w:val="21"/>
                <w:szCs w:val="18"/>
                <w:vertAlign w:val="superscript"/>
              </w:rPr>
              <w:t>b</w:t>
            </w:r>
            <w:r w:rsidRPr="002A13BC">
              <w:rPr>
                <w:sz w:val="21"/>
                <w:szCs w:val="18"/>
              </w:rPr>
              <w:t>不适用于含有发酵配料或直接添加活性菌种，或鲜（冻）水果蔬莱的产品</w:t>
            </w:r>
          </w:p>
        </w:tc>
      </w:tr>
    </w:tbl>
    <w:p w14:paraId="3C73A409" w14:textId="416E0FDD" w:rsidR="001E4742" w:rsidRPr="001E4742" w:rsidRDefault="002A13BC" w:rsidP="002A13BC">
      <w:pPr>
        <w:pStyle w:val="2"/>
        <w:ind w:firstLine="562"/>
      </w:pPr>
      <w:r>
        <w:rPr>
          <w:rFonts w:hint="eastAsia"/>
        </w:rPr>
        <w:t xml:space="preserve">4.7 </w:t>
      </w:r>
      <w:r w:rsidR="001E4742" w:rsidRPr="001E4742">
        <w:t>净含量</w:t>
      </w:r>
    </w:p>
    <w:p w14:paraId="3B68CAB5" w14:textId="77777777" w:rsidR="001E4742" w:rsidRPr="001E4742" w:rsidRDefault="001E4742" w:rsidP="002A13BC">
      <w:pPr>
        <w:ind w:firstLine="480"/>
      </w:pPr>
      <w:r w:rsidRPr="001E4742">
        <w:t>应符合《定量包装商品计量监督管理办法》和</w:t>
      </w:r>
      <w:r w:rsidRPr="001E4742">
        <w:t>JJF 1070</w:t>
      </w:r>
      <w:r w:rsidRPr="001E4742">
        <w:t>的规定。</w:t>
      </w:r>
    </w:p>
    <w:p w14:paraId="1BB0C026" w14:textId="493FB315" w:rsidR="002A13BC" w:rsidRDefault="002A13BC" w:rsidP="002A13BC">
      <w:pPr>
        <w:pStyle w:val="2"/>
        <w:ind w:firstLine="562"/>
        <w:rPr>
          <w:rFonts w:hint="eastAsia"/>
        </w:rPr>
      </w:pPr>
      <w:r>
        <w:rPr>
          <w:rFonts w:hint="eastAsia"/>
        </w:rPr>
        <w:lastRenderedPageBreak/>
        <w:t xml:space="preserve">4.8 </w:t>
      </w:r>
      <w:r>
        <w:rPr>
          <w:rFonts w:hint="eastAsia"/>
        </w:rPr>
        <w:t>生产加工管理</w:t>
      </w:r>
    </w:p>
    <w:p w14:paraId="66C82487" w14:textId="77777777" w:rsidR="002A13BC" w:rsidRDefault="002A13BC" w:rsidP="002A13BC">
      <w:pPr>
        <w:ind w:firstLine="480"/>
        <w:rPr>
          <w:rFonts w:hint="eastAsia"/>
        </w:rPr>
      </w:pPr>
      <w:r>
        <w:rPr>
          <w:rFonts w:hint="eastAsia"/>
        </w:rPr>
        <w:t>应符合</w:t>
      </w:r>
      <w:r>
        <w:rPr>
          <w:rFonts w:hint="eastAsia"/>
        </w:rPr>
        <w:t>GB 14881</w:t>
      </w:r>
      <w:r>
        <w:rPr>
          <w:rFonts w:hint="eastAsia"/>
        </w:rPr>
        <w:t>、</w:t>
      </w:r>
      <w:r>
        <w:rPr>
          <w:rFonts w:hint="eastAsia"/>
        </w:rPr>
        <w:t>GB 17403</w:t>
      </w:r>
      <w:r>
        <w:rPr>
          <w:rFonts w:hint="eastAsia"/>
        </w:rPr>
        <w:t>和</w:t>
      </w:r>
      <w:r>
        <w:rPr>
          <w:rFonts w:hint="eastAsia"/>
        </w:rPr>
        <w:t>GB/T 23822</w:t>
      </w:r>
      <w:r>
        <w:rPr>
          <w:rFonts w:hint="eastAsia"/>
        </w:rPr>
        <w:t>的规定。</w:t>
      </w:r>
    </w:p>
    <w:p w14:paraId="272E4E20" w14:textId="76EC80B2" w:rsidR="002A13BC" w:rsidRDefault="002A13BC" w:rsidP="002A13BC">
      <w:pPr>
        <w:pStyle w:val="2"/>
        <w:ind w:firstLine="562"/>
        <w:rPr>
          <w:rFonts w:hint="eastAsia"/>
        </w:rPr>
      </w:pPr>
      <w:r>
        <w:rPr>
          <w:rFonts w:hint="eastAsia"/>
        </w:rPr>
        <w:t xml:space="preserve">4.9 </w:t>
      </w:r>
      <w:r>
        <w:rPr>
          <w:rFonts w:hint="eastAsia"/>
        </w:rPr>
        <w:t>标签标识、包装、贮存和销售</w:t>
      </w:r>
    </w:p>
    <w:p w14:paraId="171FC3B1" w14:textId="3677D780" w:rsidR="005C0B7F" w:rsidRDefault="002A13BC" w:rsidP="002A13BC">
      <w:pPr>
        <w:ind w:firstLine="480"/>
      </w:pPr>
      <w:r>
        <w:rPr>
          <w:rFonts w:hint="eastAsia"/>
        </w:rPr>
        <w:t>除了需符合标准</w:t>
      </w:r>
      <w:r>
        <w:rPr>
          <w:rFonts w:hint="eastAsia"/>
        </w:rPr>
        <w:t>GB/T 19343</w:t>
      </w:r>
      <w:r>
        <w:rPr>
          <w:rFonts w:hint="eastAsia"/>
        </w:rPr>
        <w:t>的规定，还对名称、包装、和贮存运输条件等进行了规定。</w:t>
      </w:r>
    </w:p>
    <w:p w14:paraId="53639CF2" w14:textId="77777777" w:rsidR="002A13BC" w:rsidRPr="002A13BC" w:rsidRDefault="002A13BC" w:rsidP="002A13BC">
      <w:pPr>
        <w:pStyle w:val="1"/>
      </w:pPr>
      <w:r w:rsidRPr="002A13BC">
        <w:t>国际对标程度</w:t>
      </w:r>
    </w:p>
    <w:p w14:paraId="2F88D7FE" w14:textId="393BFE16" w:rsidR="002A13BC" w:rsidRPr="002A13BC" w:rsidRDefault="002A13BC" w:rsidP="002A13BC">
      <w:pPr>
        <w:ind w:firstLine="480"/>
        <w:rPr>
          <w:rFonts w:ascii="宋体" w:hAnsi="宋体" w:hint="eastAsia"/>
          <w:szCs w:val="24"/>
        </w:rPr>
      </w:pPr>
      <w:r w:rsidRPr="002A13BC">
        <w:rPr>
          <w:rFonts w:ascii="宋体" w:hAnsi="宋体" w:hint="eastAsia"/>
          <w:szCs w:val="24"/>
        </w:rPr>
        <w:t>原料巧克力理化中可可固形物、可可脂、乳固体和乳脂等指标的限值根据美国、欧盟、加拿大、澳新、日本、韩国、</w:t>
      </w:r>
      <w:r w:rsidRPr="002A13BC">
        <w:rPr>
          <w:rFonts w:ascii="宋体" w:hAnsi="宋体"/>
          <w:szCs w:val="24"/>
        </w:rPr>
        <w:t>CAC</w:t>
      </w:r>
      <w:r w:rsidRPr="002A13BC">
        <w:rPr>
          <w:rFonts w:ascii="宋体" w:hAnsi="宋体" w:hint="eastAsia"/>
          <w:szCs w:val="24"/>
        </w:rPr>
        <w:t>等国家和地区的标准，同时对标欧美国家对于黑巧克力的质量要求，即黑巧克力非脂可可固形物指标不低于</w:t>
      </w:r>
      <w:r w:rsidRPr="002A13BC">
        <w:rPr>
          <w:rFonts w:ascii="宋体" w:hAnsi="宋体"/>
          <w:szCs w:val="24"/>
        </w:rPr>
        <w:t>14g/100g</w:t>
      </w:r>
      <w:r w:rsidRPr="002A13BC">
        <w:rPr>
          <w:rFonts w:ascii="宋体" w:hAnsi="宋体" w:hint="eastAsia"/>
          <w:szCs w:val="24"/>
        </w:rPr>
        <w:t>；总可可固形物指标不低于</w:t>
      </w:r>
      <w:r w:rsidRPr="002A13BC">
        <w:rPr>
          <w:rFonts w:ascii="宋体" w:hAnsi="宋体"/>
          <w:szCs w:val="24"/>
        </w:rPr>
        <w:t>35g/100g</w:t>
      </w:r>
      <w:r w:rsidRPr="002A13BC">
        <w:rPr>
          <w:rFonts w:ascii="宋体" w:hAnsi="宋体" w:hint="eastAsia"/>
          <w:szCs w:val="24"/>
        </w:rPr>
        <w:t>，同时也符合GB/T 19343-2025《</w:t>
      </w:r>
      <w:r w:rsidRPr="002A13BC">
        <w:rPr>
          <w:rFonts w:ascii="宋体" w:hAnsi="宋体"/>
          <w:szCs w:val="24"/>
        </w:rPr>
        <w:t>巧克力及巧克力制品、代可可脂巧克力及代可可脂巧克力制品质量要求</w:t>
      </w:r>
      <w:r w:rsidRPr="002A13BC">
        <w:rPr>
          <w:rFonts w:ascii="宋体" w:hAnsi="宋体" w:hint="eastAsia"/>
          <w:szCs w:val="24"/>
        </w:rPr>
        <w:t>》对应的巧克力理化要求。</w:t>
      </w:r>
    </w:p>
    <w:p w14:paraId="7DAFD55F" w14:textId="2FD2EA37" w:rsidR="002A13BC" w:rsidRPr="002A13BC" w:rsidRDefault="002A13BC" w:rsidP="002A13BC">
      <w:pPr>
        <w:ind w:firstLine="480"/>
        <w:rPr>
          <w:rFonts w:ascii="宋体" w:hAnsi="宋体"/>
          <w:szCs w:val="24"/>
        </w:rPr>
      </w:pPr>
      <w:r w:rsidRPr="002A13BC">
        <w:rPr>
          <w:rFonts w:ascii="宋体" w:hAnsi="宋体" w:hint="eastAsia"/>
          <w:szCs w:val="24"/>
        </w:rPr>
        <w:t>韩国MSDF《食品法典》对密封巧克力类产品指示性微生物的限量指标要求菌落总数 n=5、c=2、m=10 000、M=50 000 CFU/g；其他国家与地区暂未明确列出指示性微生物菌落总数强制要求。根据国内行业管理水平以及冻干产品实际工艺情况，结合相关原物料的国家标准要求，因此团体标准设定指示菌菌落总数限量要求n=5、c=2、m=10 000、M=50 000 CFU/g。</w:t>
      </w:r>
    </w:p>
    <w:p w14:paraId="54B0F8C6" w14:textId="5958E2A2" w:rsidR="002A13BC" w:rsidRDefault="002A13BC" w:rsidP="002A13BC">
      <w:pPr>
        <w:pStyle w:val="1"/>
        <w:rPr>
          <w:sz w:val="21"/>
          <w:szCs w:val="21"/>
        </w:rPr>
      </w:pPr>
      <w:r>
        <w:rPr>
          <w:rFonts w:hint="eastAsia"/>
        </w:rPr>
        <w:t>与我国有关现行法律法规和其他强制性标准的关系</w:t>
      </w:r>
    </w:p>
    <w:p w14:paraId="528EF044" w14:textId="77777777" w:rsidR="002A13BC" w:rsidRDefault="002A13BC" w:rsidP="002A13BC">
      <w:pPr>
        <w:ind w:firstLine="480"/>
        <w:rPr>
          <w:rFonts w:hint="eastAsia"/>
        </w:rPr>
      </w:pPr>
      <w:r>
        <w:rPr>
          <w:rFonts w:hint="eastAsia"/>
        </w:rPr>
        <w:t>本标准为团体标准，与现行国家现行强制性食品安全标准</w:t>
      </w:r>
      <w:r>
        <w:rPr>
          <w:rFonts w:hint="eastAsia"/>
        </w:rPr>
        <w:t xml:space="preserve">GB 9678.2-2014 </w:t>
      </w:r>
      <w:r>
        <w:rPr>
          <w:rFonts w:hint="eastAsia"/>
        </w:rPr>
        <w:t>《食品安全国家标准</w:t>
      </w:r>
      <w:r>
        <w:rPr>
          <w:rFonts w:hint="eastAsia"/>
        </w:rPr>
        <w:t xml:space="preserve"> </w:t>
      </w:r>
      <w:r>
        <w:rPr>
          <w:rFonts w:hint="eastAsia"/>
        </w:rPr>
        <w:t>巧克力、代可可脂巧克力及其制品》与国家推荐性标准</w:t>
      </w:r>
      <w:r>
        <w:rPr>
          <w:rFonts w:hint="eastAsia"/>
        </w:rPr>
        <w:t>GB/T 19343</w:t>
      </w:r>
      <w:r>
        <w:rPr>
          <w:rFonts w:hint="eastAsia"/>
        </w:rPr>
        <w:t>《巧克力及巧克力制品、代可可脂巧克力及代可可脂巧克力制品质量要求》没有冲突。国家安全性指标是强制安全底线，规定了污染物、真菌毒素、添加剂、致病菌等基本强制限量，以现行</w:t>
      </w:r>
      <w:r>
        <w:rPr>
          <w:rFonts w:hint="eastAsia"/>
        </w:rPr>
        <w:t>GB 2762</w:t>
      </w:r>
      <w:r>
        <w:rPr>
          <w:rFonts w:hint="eastAsia"/>
        </w:rPr>
        <w:t>、</w:t>
      </w:r>
      <w:r>
        <w:rPr>
          <w:rFonts w:hint="eastAsia"/>
        </w:rPr>
        <w:t>GB2761</w:t>
      </w:r>
      <w:r>
        <w:rPr>
          <w:rFonts w:hint="eastAsia"/>
        </w:rPr>
        <w:t>、</w:t>
      </w:r>
      <w:r>
        <w:rPr>
          <w:rFonts w:hint="eastAsia"/>
        </w:rPr>
        <w:t>GB 2760</w:t>
      </w:r>
      <w:r>
        <w:rPr>
          <w:rFonts w:hint="eastAsia"/>
        </w:rPr>
        <w:t>、</w:t>
      </w:r>
      <w:r>
        <w:rPr>
          <w:rFonts w:hint="eastAsia"/>
        </w:rPr>
        <w:t>GB 29921</w:t>
      </w:r>
      <w:r>
        <w:rPr>
          <w:rFonts w:hint="eastAsia"/>
        </w:rPr>
        <w:t>等为基础，不能因“冻干”而降低污染物、致病菌或添加剂要求。国家推荐性标准</w:t>
      </w:r>
      <w:r>
        <w:rPr>
          <w:rFonts w:hint="eastAsia"/>
        </w:rPr>
        <w:t>GB/T 19343</w:t>
      </w:r>
      <w:r>
        <w:rPr>
          <w:rFonts w:hint="eastAsia"/>
        </w:rPr>
        <w:t>《巧克力及巧克力制品、代可可脂巧克力及代可可脂巧克力制品质量要求》固定了巧克力的分类以及宗可可固形物、可可脂、乳固体和乳脂的不同巧克力类别的产品门槛。</w:t>
      </w:r>
    </w:p>
    <w:p w14:paraId="444EEC5D" w14:textId="55D454DE" w:rsidR="002A13BC" w:rsidRDefault="002A13BC" w:rsidP="002A13BC">
      <w:pPr>
        <w:ind w:firstLine="480"/>
      </w:pPr>
      <w:r>
        <w:rPr>
          <w:rFonts w:hint="eastAsia"/>
        </w:rPr>
        <w:t>结合冻干会改变巧克力的水分、孔隙、油脂分布和货架期存储模式，冻干本身不是降低微生物限量或免除过程控制，相较于传统巧克力的生产增加了生产过程中微生物的污染风险，以及冻干形成的多孔结构会扩大油脂与空气的接触界面，整加了脂肪氧化的风险。因此相较于国标增加冻干巧克力菌落总数的微生物指示菌限量指标，以及质量安全性指标酸价。关于限值的设定，鉴于巧克力仍属于糖果大类，同时结合巧克力经典辅料坚果与籽类、膨化食品、糕点与面包、饼干等大类原料，依据</w:t>
      </w:r>
      <w:r>
        <w:rPr>
          <w:rFonts w:hint="eastAsia"/>
        </w:rPr>
        <w:t xml:space="preserve">GB 17399-2016 </w:t>
      </w:r>
      <w:r>
        <w:rPr>
          <w:rFonts w:hint="eastAsia"/>
        </w:rPr>
        <w:t>《食品安全国家标准</w:t>
      </w:r>
      <w:r>
        <w:rPr>
          <w:rFonts w:hint="eastAsia"/>
        </w:rPr>
        <w:t xml:space="preserve"> </w:t>
      </w:r>
      <w:r>
        <w:rPr>
          <w:rFonts w:hint="eastAsia"/>
        </w:rPr>
        <w:t>糖果》微生物的限量指标要求菌落总数</w:t>
      </w:r>
      <w:r>
        <w:rPr>
          <w:rFonts w:hint="eastAsia"/>
        </w:rPr>
        <w:t xml:space="preserve"> n=5</w:t>
      </w:r>
      <w:r>
        <w:rPr>
          <w:rFonts w:hint="eastAsia"/>
        </w:rPr>
        <w:t>、</w:t>
      </w:r>
      <w:r>
        <w:rPr>
          <w:rFonts w:hint="eastAsia"/>
        </w:rPr>
        <w:t>c=2</w:t>
      </w:r>
      <w:r>
        <w:rPr>
          <w:rFonts w:hint="eastAsia"/>
        </w:rPr>
        <w:t>、</w:t>
      </w:r>
      <w:r>
        <w:rPr>
          <w:rFonts w:hint="eastAsia"/>
        </w:rPr>
        <w:t>m=10,000</w:t>
      </w:r>
      <w:r>
        <w:rPr>
          <w:rFonts w:hint="eastAsia"/>
        </w:rPr>
        <w:t>、</w:t>
      </w:r>
      <w:r>
        <w:rPr>
          <w:rFonts w:hint="eastAsia"/>
        </w:rPr>
        <w:t>M=100,000 CFU/g</w:t>
      </w:r>
      <w:r>
        <w:rPr>
          <w:rFonts w:hint="eastAsia"/>
        </w:rPr>
        <w:t>；依据</w:t>
      </w:r>
      <w:r>
        <w:rPr>
          <w:rFonts w:hint="eastAsia"/>
        </w:rPr>
        <w:t xml:space="preserve">GB 19300-2014 </w:t>
      </w:r>
      <w:r>
        <w:rPr>
          <w:rFonts w:hint="eastAsia"/>
        </w:rPr>
        <w:t>《食品安全国家标准</w:t>
      </w:r>
      <w:r>
        <w:rPr>
          <w:rFonts w:hint="eastAsia"/>
        </w:rPr>
        <w:t xml:space="preserve"> </w:t>
      </w:r>
      <w:r>
        <w:rPr>
          <w:rFonts w:hint="eastAsia"/>
        </w:rPr>
        <w:t>坚果与籽类食品》酸价</w:t>
      </w:r>
      <w:proofErr w:type="gramStart"/>
      <w:r>
        <w:rPr>
          <w:rFonts w:hint="eastAsia"/>
        </w:rPr>
        <w:t>(</w:t>
      </w:r>
      <w:r>
        <w:rPr>
          <w:rFonts w:hint="eastAsia"/>
        </w:rPr>
        <w:t>以脂肪计</w:t>
      </w:r>
      <w:r>
        <w:rPr>
          <w:rFonts w:hint="eastAsia"/>
        </w:rPr>
        <w:t>)(KOH)</w:t>
      </w:r>
      <w:proofErr w:type="gramEnd"/>
      <w:r>
        <w:rPr>
          <w:rFonts w:hint="eastAsia"/>
        </w:rPr>
        <w:t>不大于</w:t>
      </w:r>
      <w:r>
        <w:rPr>
          <w:rFonts w:hint="eastAsia"/>
        </w:rPr>
        <w:t>3/mg/g</w:t>
      </w:r>
      <w:r>
        <w:rPr>
          <w:rFonts w:hint="eastAsia"/>
        </w:rPr>
        <w:t>；</w:t>
      </w:r>
      <w:r>
        <w:rPr>
          <w:rFonts w:hint="eastAsia"/>
        </w:rPr>
        <w:t xml:space="preserve">GB 17401-2014 </w:t>
      </w:r>
      <w:r>
        <w:rPr>
          <w:rFonts w:hint="eastAsia"/>
        </w:rPr>
        <w:t>《食品安全国家标准</w:t>
      </w:r>
      <w:r>
        <w:rPr>
          <w:rFonts w:hint="eastAsia"/>
        </w:rPr>
        <w:t xml:space="preserve"> </w:t>
      </w:r>
      <w:r>
        <w:rPr>
          <w:rFonts w:hint="eastAsia"/>
        </w:rPr>
        <w:t>膨化食品》、</w:t>
      </w:r>
      <w:r>
        <w:rPr>
          <w:rFonts w:hint="eastAsia"/>
        </w:rPr>
        <w:t>GB 7099-2015</w:t>
      </w:r>
      <w:r>
        <w:rPr>
          <w:rFonts w:hint="eastAsia"/>
        </w:rPr>
        <w:t>《食品安全国家标准</w:t>
      </w:r>
      <w:r>
        <w:rPr>
          <w:rFonts w:hint="eastAsia"/>
        </w:rPr>
        <w:t xml:space="preserve"> </w:t>
      </w:r>
      <w:r>
        <w:rPr>
          <w:rFonts w:hint="eastAsia"/>
        </w:rPr>
        <w:t>糕点、面包》和</w:t>
      </w:r>
      <w:r>
        <w:rPr>
          <w:rFonts w:hint="eastAsia"/>
        </w:rPr>
        <w:t>GB 7100-2015</w:t>
      </w:r>
      <w:proofErr w:type="gramStart"/>
      <w:r>
        <w:rPr>
          <w:rFonts w:hint="eastAsia"/>
        </w:rPr>
        <w:t>《</w:t>
      </w:r>
      <w:r>
        <w:rPr>
          <w:rFonts w:hint="eastAsia"/>
        </w:rPr>
        <w:t xml:space="preserve"> </w:t>
      </w:r>
      <w:proofErr w:type="gramEnd"/>
      <w:r>
        <w:rPr>
          <w:rFonts w:hint="eastAsia"/>
        </w:rPr>
        <w:t>食品安全国家标准</w:t>
      </w:r>
      <w:r>
        <w:rPr>
          <w:rFonts w:hint="eastAsia"/>
        </w:rPr>
        <w:t xml:space="preserve"> </w:t>
      </w:r>
      <w:r>
        <w:rPr>
          <w:rFonts w:hint="eastAsia"/>
        </w:rPr>
        <w:t>饼干》微生物的限量指标要求菌落总数</w:t>
      </w:r>
      <w:r>
        <w:rPr>
          <w:rFonts w:hint="eastAsia"/>
        </w:rPr>
        <w:t xml:space="preserve"> n=5</w:t>
      </w:r>
      <w:r>
        <w:rPr>
          <w:rFonts w:hint="eastAsia"/>
        </w:rPr>
        <w:t>、</w:t>
      </w:r>
      <w:r>
        <w:rPr>
          <w:rFonts w:hint="eastAsia"/>
        </w:rPr>
        <w:t>c=2</w:t>
      </w:r>
      <w:r>
        <w:rPr>
          <w:rFonts w:hint="eastAsia"/>
        </w:rPr>
        <w:t>、</w:t>
      </w:r>
      <w:r>
        <w:rPr>
          <w:rFonts w:hint="eastAsia"/>
        </w:rPr>
        <w:t>m=10,000</w:t>
      </w:r>
      <w:r>
        <w:rPr>
          <w:rFonts w:hint="eastAsia"/>
        </w:rPr>
        <w:t>、</w:t>
      </w:r>
      <w:r>
        <w:rPr>
          <w:rFonts w:hint="eastAsia"/>
        </w:rPr>
        <w:t>M=100,000 CFU/g</w:t>
      </w:r>
      <w:proofErr w:type="gramStart"/>
      <w:r>
        <w:rPr>
          <w:rFonts w:hint="eastAsia"/>
        </w:rPr>
        <w:t>，，</w:t>
      </w:r>
      <w:proofErr w:type="gramEnd"/>
      <w:r>
        <w:rPr>
          <w:rFonts w:hint="eastAsia"/>
        </w:rPr>
        <w:t>酸价</w:t>
      </w:r>
      <w:proofErr w:type="gramStart"/>
      <w:r>
        <w:rPr>
          <w:rFonts w:hint="eastAsia"/>
        </w:rPr>
        <w:t>(</w:t>
      </w:r>
      <w:r>
        <w:rPr>
          <w:rFonts w:hint="eastAsia"/>
        </w:rPr>
        <w:t>以脂肪</w:t>
      </w:r>
      <w:r>
        <w:rPr>
          <w:rFonts w:hint="eastAsia"/>
        </w:rPr>
        <w:lastRenderedPageBreak/>
        <w:t>计</w:t>
      </w:r>
      <w:r>
        <w:rPr>
          <w:rFonts w:hint="eastAsia"/>
        </w:rPr>
        <w:t>)(KOH)</w:t>
      </w:r>
      <w:proofErr w:type="gramEnd"/>
      <w:r>
        <w:rPr>
          <w:rFonts w:hint="eastAsia"/>
        </w:rPr>
        <w:t>不大于</w:t>
      </w:r>
      <w:r>
        <w:rPr>
          <w:rFonts w:hint="eastAsia"/>
        </w:rPr>
        <w:t>5mg/g</w:t>
      </w:r>
      <w:r>
        <w:rPr>
          <w:rFonts w:hint="eastAsia"/>
        </w:rPr>
        <w:t>。结合巧克力的原料可可脂质量要求以及巧克力产品中可可脂的含量，依据</w:t>
      </w:r>
      <w:r>
        <w:rPr>
          <w:rFonts w:hint="eastAsia"/>
        </w:rPr>
        <w:t xml:space="preserve">GB/T 20707-2021 </w:t>
      </w:r>
      <w:r>
        <w:rPr>
          <w:rFonts w:hint="eastAsia"/>
        </w:rPr>
        <w:t>《可可脂质量要求》游离脂肪酸（以油酸计）不大于</w:t>
      </w:r>
      <w:r>
        <w:rPr>
          <w:rFonts w:hint="eastAsia"/>
        </w:rPr>
        <w:t>1.75%</w:t>
      </w:r>
      <w:r>
        <w:rPr>
          <w:rFonts w:hint="eastAsia"/>
        </w:rPr>
        <w:t>，（酸价</w:t>
      </w:r>
      <w:r>
        <w:rPr>
          <w:rFonts w:hint="eastAsia"/>
        </w:rPr>
        <w:t>=</w:t>
      </w:r>
      <w:r>
        <w:rPr>
          <w:rFonts w:hint="eastAsia"/>
        </w:rPr>
        <w:t>游离脂肪酸</w:t>
      </w:r>
      <w:r>
        <w:rPr>
          <w:rFonts w:hint="eastAsia"/>
        </w:rPr>
        <w:t>*1.99</w:t>
      </w:r>
      <w:r>
        <w:rPr>
          <w:rFonts w:hint="eastAsia"/>
        </w:rPr>
        <w:t>）不大于</w:t>
      </w:r>
      <w:r>
        <w:rPr>
          <w:rFonts w:hint="eastAsia"/>
        </w:rPr>
        <w:t>3.48</w:t>
      </w:r>
      <w:r>
        <w:rPr>
          <w:rFonts w:hint="eastAsia"/>
        </w:rPr>
        <w:t>。结合坚果，糕点以及可可脂等含高油脂原料的食品安全标准，设置冻干巧克力的酸价上限</w:t>
      </w:r>
      <w:r>
        <w:rPr>
          <w:rFonts w:hint="eastAsia"/>
        </w:rPr>
        <w:t>3mg/g</w:t>
      </w:r>
      <w:r>
        <w:rPr>
          <w:rFonts w:hint="eastAsia"/>
        </w:rPr>
        <w:t>作为管控限量。</w:t>
      </w:r>
    </w:p>
    <w:p w14:paraId="0BC11B39" w14:textId="77777777" w:rsidR="002A13BC" w:rsidRDefault="002A13BC" w:rsidP="002A13BC">
      <w:pPr>
        <w:pStyle w:val="1"/>
      </w:pPr>
      <w:r>
        <w:t>重大意见分歧的处理结果和依据</w:t>
      </w:r>
    </w:p>
    <w:p w14:paraId="634AE17C" w14:textId="3ABC3EDB" w:rsidR="002A13BC" w:rsidRPr="002A13BC" w:rsidRDefault="002A13BC" w:rsidP="002A13BC">
      <w:pPr>
        <w:ind w:firstLine="480"/>
        <w:rPr>
          <w:rFonts w:hint="eastAsia"/>
        </w:rPr>
      </w:pPr>
      <w:r>
        <w:rPr>
          <w:rFonts w:hint="eastAsia"/>
        </w:rPr>
        <w:t>制定过程中无重大意见分歧。</w:t>
      </w:r>
    </w:p>
    <w:p w14:paraId="0A3E1607" w14:textId="77777777" w:rsidR="002A13BC" w:rsidRDefault="002A13BC" w:rsidP="002A13BC">
      <w:pPr>
        <w:pStyle w:val="1"/>
      </w:pPr>
      <w:r>
        <w:t>废止现行有关标准的建议</w:t>
      </w:r>
    </w:p>
    <w:p w14:paraId="1C6B5EEF" w14:textId="7D715023" w:rsidR="002A13BC" w:rsidRPr="002A13BC" w:rsidRDefault="002A13BC" w:rsidP="002A13BC">
      <w:pPr>
        <w:ind w:firstLine="480"/>
        <w:rPr>
          <w:rFonts w:hint="eastAsia"/>
        </w:rPr>
      </w:pPr>
      <w:r>
        <w:rPr>
          <w:rFonts w:hint="eastAsia"/>
        </w:rPr>
        <w:t>无废止现行有关标准的建议。</w:t>
      </w:r>
    </w:p>
    <w:p w14:paraId="0ADFC67D" w14:textId="77777777" w:rsidR="002A13BC" w:rsidRDefault="002A13BC" w:rsidP="002A13BC">
      <w:pPr>
        <w:pStyle w:val="1"/>
        <w:rPr>
          <w:rFonts w:hint="eastAsia"/>
          <w:sz w:val="21"/>
          <w:szCs w:val="21"/>
        </w:rPr>
      </w:pPr>
      <w:r>
        <w:rPr>
          <w:rFonts w:hint="eastAsia"/>
        </w:rPr>
        <w:t>其他应予说明的事项</w:t>
      </w:r>
    </w:p>
    <w:p w14:paraId="45CE68E0" w14:textId="458809D2" w:rsidR="002A13BC" w:rsidRDefault="002A13BC" w:rsidP="002A13BC">
      <w:pPr>
        <w:ind w:firstLine="480"/>
      </w:pPr>
      <w:r>
        <w:rPr>
          <w:rFonts w:hint="eastAsia"/>
        </w:rPr>
        <w:t>无其他应予说明的事项。</w:t>
      </w:r>
    </w:p>
    <w:p w14:paraId="259A03DC" w14:textId="77777777" w:rsidR="002A13BC" w:rsidRDefault="002A13BC" w:rsidP="002A13BC">
      <w:pPr>
        <w:spacing w:line="360" w:lineRule="auto"/>
        <w:ind w:firstLineChars="500" w:firstLine="1050"/>
        <w:jc w:val="both"/>
        <w:rPr>
          <w:sz w:val="21"/>
        </w:rPr>
      </w:pPr>
    </w:p>
    <w:p w14:paraId="780D9581" w14:textId="77777777" w:rsidR="002A13BC" w:rsidRDefault="002A13BC" w:rsidP="002A13BC">
      <w:pPr>
        <w:spacing w:line="360" w:lineRule="auto"/>
        <w:ind w:firstLineChars="500" w:firstLine="1050"/>
        <w:jc w:val="both"/>
        <w:rPr>
          <w:sz w:val="21"/>
        </w:rPr>
      </w:pPr>
    </w:p>
    <w:p w14:paraId="35B2CBF6" w14:textId="77777777" w:rsidR="002A13BC" w:rsidRDefault="002A13BC" w:rsidP="002A13BC">
      <w:pPr>
        <w:spacing w:line="360" w:lineRule="auto"/>
        <w:ind w:firstLineChars="500" w:firstLine="1050"/>
        <w:jc w:val="both"/>
        <w:rPr>
          <w:rFonts w:hint="eastAsia"/>
          <w:sz w:val="21"/>
        </w:rPr>
      </w:pPr>
    </w:p>
    <w:p w14:paraId="2092E458" w14:textId="036C8DE4" w:rsidR="002A13BC" w:rsidRPr="002A13BC" w:rsidRDefault="002A13BC" w:rsidP="002A13BC">
      <w:pPr>
        <w:ind w:firstLine="562"/>
        <w:jc w:val="right"/>
        <w:rPr>
          <w:rFonts w:hint="eastAsia"/>
          <w:b/>
          <w:bCs/>
          <w:sz w:val="28"/>
          <w:szCs w:val="22"/>
        </w:rPr>
      </w:pPr>
      <w:r w:rsidRPr="002A13BC">
        <w:rPr>
          <w:rFonts w:hint="eastAsia"/>
          <w:b/>
          <w:bCs/>
          <w:sz w:val="28"/>
          <w:szCs w:val="22"/>
        </w:rPr>
        <w:t>《冻干巧克力及冻干巧克力制品》团体标准修订起草工作组</w:t>
      </w:r>
    </w:p>
    <w:p w14:paraId="49E014C6" w14:textId="0DAC3972" w:rsidR="002A13BC" w:rsidRPr="002A13BC" w:rsidRDefault="002A13BC" w:rsidP="002A13BC">
      <w:pPr>
        <w:ind w:firstLine="562"/>
        <w:jc w:val="right"/>
        <w:rPr>
          <w:rFonts w:hint="eastAsia"/>
          <w:b/>
          <w:bCs/>
          <w:sz w:val="22"/>
          <w:szCs w:val="22"/>
        </w:rPr>
      </w:pPr>
      <w:r w:rsidRPr="002A13BC">
        <w:rPr>
          <w:b/>
          <w:bCs/>
          <w:sz w:val="28"/>
          <w:szCs w:val="22"/>
        </w:rPr>
        <w:t>202</w:t>
      </w:r>
      <w:r w:rsidRPr="002A13BC">
        <w:rPr>
          <w:rFonts w:hint="eastAsia"/>
          <w:b/>
          <w:bCs/>
          <w:sz w:val="28"/>
          <w:szCs w:val="22"/>
        </w:rPr>
        <w:t>6</w:t>
      </w:r>
      <w:r w:rsidRPr="002A13BC">
        <w:rPr>
          <w:b/>
          <w:bCs/>
          <w:sz w:val="28"/>
          <w:szCs w:val="22"/>
        </w:rPr>
        <w:t>年</w:t>
      </w:r>
      <w:r w:rsidRPr="002A13BC">
        <w:rPr>
          <w:rFonts w:hint="eastAsia"/>
          <w:b/>
          <w:bCs/>
          <w:sz w:val="28"/>
          <w:szCs w:val="22"/>
        </w:rPr>
        <w:t>10</w:t>
      </w:r>
      <w:r w:rsidRPr="002A13BC">
        <w:rPr>
          <w:b/>
          <w:bCs/>
          <w:sz w:val="28"/>
          <w:szCs w:val="22"/>
        </w:rPr>
        <w:t>月</w:t>
      </w:r>
    </w:p>
    <w:p w14:paraId="23BB3658" w14:textId="77777777" w:rsidR="002A13BC" w:rsidRPr="002A13BC" w:rsidRDefault="002A13BC" w:rsidP="002A13BC">
      <w:pPr>
        <w:ind w:firstLine="560"/>
        <w:rPr>
          <w:rFonts w:hint="eastAsia"/>
          <w:sz w:val="28"/>
          <w:szCs w:val="22"/>
        </w:rPr>
      </w:pPr>
    </w:p>
    <w:sectPr w:rsidR="002A13BC" w:rsidRPr="002A13BC" w:rsidSect="00EA0FF1">
      <w:headerReference w:type="even" r:id="rId7"/>
      <w:pgSz w:w="11907" w:h="16840" w:code="9"/>
      <w:pgMar w:top="1134" w:right="1134" w:bottom="1134" w:left="1134" w:header="794" w:footer="737" w:gutter="284"/>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72ED" w14:textId="77777777" w:rsidR="00ED34A2" w:rsidRDefault="00ED34A2">
      <w:pPr>
        <w:ind w:firstLine="480"/>
      </w:pPr>
      <w:r>
        <w:separator/>
      </w:r>
    </w:p>
  </w:endnote>
  <w:endnote w:type="continuationSeparator" w:id="0">
    <w:p w14:paraId="2BF485E5" w14:textId="77777777" w:rsidR="00ED34A2" w:rsidRDefault="00ED34A2">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2219A" w14:textId="77777777" w:rsidR="00ED34A2" w:rsidRDefault="00ED34A2">
      <w:pPr>
        <w:ind w:firstLine="480"/>
      </w:pPr>
      <w:r>
        <w:separator/>
      </w:r>
    </w:p>
  </w:footnote>
  <w:footnote w:type="continuationSeparator" w:id="0">
    <w:p w14:paraId="15F60C9E" w14:textId="77777777" w:rsidR="00ED34A2" w:rsidRDefault="00ED34A2">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84278" w14:textId="77777777" w:rsidR="00151B7A" w:rsidRPr="00EA0FF1" w:rsidRDefault="00151B7A" w:rsidP="005D3F36">
    <w:pPr>
      <w:pStyle w:val="a5"/>
      <w:pBdr>
        <w:bottom w:val="single" w:sz="6" w:space="0" w:color="auto"/>
      </w:pBdr>
      <w:ind w:rightChars="33" w:right="79" w:firstLine="420"/>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D990C3"/>
    <w:multiLevelType w:val="singleLevel"/>
    <w:tmpl w:val="C4D990C3"/>
    <w:lvl w:ilvl="0">
      <w:start w:val="2"/>
      <w:numFmt w:val="chineseCounting"/>
      <w:suff w:val="nothing"/>
      <w:lvlText w:val="%1、"/>
      <w:lvlJc w:val="left"/>
      <w:rPr>
        <w:rFonts w:hint="eastAsia"/>
      </w:rPr>
    </w:lvl>
  </w:abstractNum>
  <w:abstractNum w:abstractNumId="1" w15:restartNumberingAfterBreak="0">
    <w:nsid w:val="007547CF"/>
    <w:multiLevelType w:val="hybridMultilevel"/>
    <w:tmpl w:val="488A62F8"/>
    <w:lvl w:ilvl="0" w:tplc="8C46BBB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09CE5BF9"/>
    <w:multiLevelType w:val="multilevel"/>
    <w:tmpl w:val="09CE5BF9"/>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24C2276"/>
    <w:multiLevelType w:val="hybridMultilevel"/>
    <w:tmpl w:val="EA9A9AF0"/>
    <w:lvl w:ilvl="0" w:tplc="04090005">
      <w:start w:val="1"/>
      <w:numFmt w:val="bullet"/>
      <w:lvlText w:val=""/>
      <w:lvlJc w:val="left"/>
      <w:pPr>
        <w:tabs>
          <w:tab w:val="num" w:pos="420"/>
        </w:tabs>
        <w:ind w:left="420" w:hanging="420"/>
      </w:pPr>
      <w:rPr>
        <w:rFonts w:ascii="Wingdings" w:hAnsi="Wingdings" w:hint="default"/>
      </w:rPr>
    </w:lvl>
    <w:lvl w:ilvl="1" w:tplc="5B402270">
      <w:start w:val="5"/>
      <w:numFmt w:val="decimal"/>
      <w:lvlText w:val="%2."/>
      <w:lvlJc w:val="left"/>
      <w:pPr>
        <w:tabs>
          <w:tab w:val="num" w:pos="420"/>
        </w:tabs>
        <w:ind w:left="420" w:hanging="420"/>
      </w:pPr>
      <w:rPr>
        <w:rFonts w:ascii="宋体" w:eastAsia="宋体" w:hAnsi="宋体"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88A0F08"/>
    <w:multiLevelType w:val="hybridMultilevel"/>
    <w:tmpl w:val="90241708"/>
    <w:lvl w:ilvl="0" w:tplc="98AC661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5" w15:restartNumberingAfterBreak="0">
    <w:nsid w:val="1B1063E8"/>
    <w:multiLevelType w:val="hybridMultilevel"/>
    <w:tmpl w:val="CBB6A94A"/>
    <w:lvl w:ilvl="0" w:tplc="00E8FD66">
      <w:start w:val="1"/>
      <w:numFmt w:val="decimal"/>
      <w:lvlText w:val="[%1]"/>
      <w:lvlJc w:val="left"/>
      <w:pPr>
        <w:tabs>
          <w:tab w:val="num" w:pos="360"/>
        </w:tabs>
        <w:ind w:left="360" w:hanging="360"/>
      </w:pPr>
      <w:rPr>
        <w:rFonts w:ascii="宋体" w:eastAsia="宋体" w:hAnsi="宋体" w:cs="Times New Roman" w:hint="default"/>
        <w:i w:val="0"/>
        <w:color w:val="auto"/>
        <w:sz w:val="24"/>
        <w:szCs w:val="24"/>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1D92C114"/>
    <w:multiLevelType w:val="singleLevel"/>
    <w:tmpl w:val="1D92C114"/>
    <w:lvl w:ilvl="0">
      <w:start w:val="2"/>
      <w:numFmt w:val="chineseCounting"/>
      <w:suff w:val="nothing"/>
      <w:lvlText w:val="（%1）"/>
      <w:lvlJc w:val="left"/>
      <w:rPr>
        <w:rFonts w:hint="eastAsia"/>
      </w:rPr>
    </w:lvl>
  </w:abstractNum>
  <w:abstractNum w:abstractNumId="7" w15:restartNumberingAfterBreak="0">
    <w:nsid w:val="2E0B06B9"/>
    <w:multiLevelType w:val="hybridMultilevel"/>
    <w:tmpl w:val="52285FE6"/>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38BA699E"/>
    <w:multiLevelType w:val="hybridMultilevel"/>
    <w:tmpl w:val="7BF6FB22"/>
    <w:lvl w:ilvl="0" w:tplc="87ECFCAC">
      <w:start w:val="1"/>
      <w:numFmt w:val="chineseCountingThousand"/>
      <w:lvlText w:val="%1、"/>
      <w:lvlJc w:val="left"/>
      <w:pPr>
        <w:tabs>
          <w:tab w:val="num" w:pos="420"/>
        </w:tabs>
        <w:ind w:left="420" w:hanging="420"/>
      </w:pPr>
      <w:rPr>
        <w:lang w:val="en-US"/>
      </w:rPr>
    </w:lvl>
    <w:lvl w:ilvl="1" w:tplc="214019F4">
      <w:start w:val="1"/>
      <w:numFmt w:val="decimal"/>
      <w:lvlText w:val="%2．"/>
      <w:lvlJc w:val="left"/>
      <w:pPr>
        <w:tabs>
          <w:tab w:val="num" w:pos="780"/>
        </w:tabs>
        <w:ind w:left="780" w:hanging="360"/>
      </w:pPr>
      <w:rPr>
        <w:rFonts w:hint="default"/>
      </w:rPr>
    </w:lvl>
    <w:lvl w:ilvl="2" w:tplc="E0FA91A2">
      <w:start w:val="1"/>
      <w:numFmt w:val="decimal"/>
      <w:lvlText w:val="[%3]."/>
      <w:lvlJc w:val="right"/>
      <w:pPr>
        <w:tabs>
          <w:tab w:val="num" w:pos="420"/>
        </w:tabs>
        <w:ind w:left="420" w:hanging="420"/>
      </w:pPr>
      <w:rPr>
        <w:rFonts w:hint="eastAsia"/>
        <w:sz w:val="15"/>
        <w:szCs w:val="15"/>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3D4F36E9"/>
    <w:multiLevelType w:val="hybridMultilevel"/>
    <w:tmpl w:val="C3ECB6CE"/>
    <w:lvl w:ilvl="0" w:tplc="0660CCBC">
      <w:start w:val="1"/>
      <w:numFmt w:val="decimal"/>
      <w:lvlText w:val="(%1)"/>
      <w:lvlJc w:val="left"/>
      <w:pPr>
        <w:tabs>
          <w:tab w:val="num" w:pos="361"/>
        </w:tabs>
        <w:ind w:left="361" w:hanging="360"/>
      </w:pPr>
      <w:rPr>
        <w:rFonts w:hint="default"/>
      </w:rPr>
    </w:lvl>
    <w:lvl w:ilvl="1" w:tplc="04090019" w:tentative="1">
      <w:start w:val="1"/>
      <w:numFmt w:val="lowerLetter"/>
      <w:lvlText w:val="%2)"/>
      <w:lvlJc w:val="left"/>
      <w:pPr>
        <w:tabs>
          <w:tab w:val="num" w:pos="841"/>
        </w:tabs>
        <w:ind w:left="841" w:hanging="420"/>
      </w:pPr>
    </w:lvl>
    <w:lvl w:ilvl="2" w:tplc="0409001B" w:tentative="1">
      <w:start w:val="1"/>
      <w:numFmt w:val="lowerRoman"/>
      <w:lvlText w:val="%3."/>
      <w:lvlJc w:val="righ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9" w:tentative="1">
      <w:start w:val="1"/>
      <w:numFmt w:val="lowerLetter"/>
      <w:lvlText w:val="%5)"/>
      <w:lvlJc w:val="left"/>
      <w:pPr>
        <w:tabs>
          <w:tab w:val="num" w:pos="2101"/>
        </w:tabs>
        <w:ind w:left="2101" w:hanging="420"/>
      </w:pPr>
    </w:lvl>
    <w:lvl w:ilvl="5" w:tplc="0409001B" w:tentative="1">
      <w:start w:val="1"/>
      <w:numFmt w:val="lowerRoman"/>
      <w:lvlText w:val="%6."/>
      <w:lvlJc w:val="righ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9" w:tentative="1">
      <w:start w:val="1"/>
      <w:numFmt w:val="lowerLetter"/>
      <w:lvlText w:val="%8)"/>
      <w:lvlJc w:val="left"/>
      <w:pPr>
        <w:tabs>
          <w:tab w:val="num" w:pos="3361"/>
        </w:tabs>
        <w:ind w:left="3361" w:hanging="420"/>
      </w:pPr>
    </w:lvl>
    <w:lvl w:ilvl="8" w:tplc="0409001B" w:tentative="1">
      <w:start w:val="1"/>
      <w:numFmt w:val="lowerRoman"/>
      <w:lvlText w:val="%9."/>
      <w:lvlJc w:val="right"/>
      <w:pPr>
        <w:tabs>
          <w:tab w:val="num" w:pos="3781"/>
        </w:tabs>
        <w:ind w:left="3781" w:hanging="420"/>
      </w:pPr>
    </w:lvl>
  </w:abstractNum>
  <w:abstractNum w:abstractNumId="10" w15:restartNumberingAfterBreak="0">
    <w:nsid w:val="4FEB226C"/>
    <w:multiLevelType w:val="hybridMultilevel"/>
    <w:tmpl w:val="28080C9E"/>
    <w:lvl w:ilvl="0" w:tplc="AF12F844">
      <w:start w:val="6"/>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5C5F7308"/>
    <w:multiLevelType w:val="hybridMultilevel"/>
    <w:tmpl w:val="BACEEE88"/>
    <w:lvl w:ilvl="0" w:tplc="68DC1F30">
      <w:start w:val="1"/>
      <w:numFmt w:val="decimal"/>
      <w:lvlText w:val="%1."/>
      <w:lvlJc w:val="left"/>
      <w:pPr>
        <w:tabs>
          <w:tab w:val="num" w:pos="315"/>
        </w:tabs>
        <w:ind w:left="315" w:hanging="315"/>
      </w:pPr>
      <w:rPr>
        <w:rFonts w:hint="eastAsia"/>
        <w:b w:val="0"/>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5CBA5E9B"/>
    <w:multiLevelType w:val="singleLevel"/>
    <w:tmpl w:val="5CBA5E9B"/>
    <w:lvl w:ilvl="0">
      <w:start w:val="1"/>
      <w:numFmt w:val="decimal"/>
      <w:suff w:val="nothing"/>
      <w:lvlText w:val="%1、"/>
      <w:lvlJc w:val="left"/>
    </w:lvl>
  </w:abstractNum>
  <w:abstractNum w:abstractNumId="13" w15:restartNumberingAfterBreak="0">
    <w:nsid w:val="646260FA"/>
    <w:multiLevelType w:val="multilevel"/>
    <w:tmpl w:val="646260FA"/>
    <w:lvl w:ilvl="0">
      <w:start w:val="1"/>
      <w:numFmt w:val="decimal"/>
      <w:suff w:val="nothing"/>
      <w:lvlText w:val="表%1　"/>
      <w:lvlJc w:val="left"/>
      <w:pPr>
        <w:ind w:left="4395" w:firstLine="0"/>
      </w:pPr>
      <w:rPr>
        <w:rFonts w:ascii="黑体" w:eastAsia="黑体" w:hAnsi="Times New Roman" w:hint="eastAsia"/>
        <w:b w:val="0"/>
        <w:i w:val="0"/>
        <w:sz w:val="21"/>
        <w:lang w:val="en-US"/>
      </w:rPr>
    </w:lvl>
    <w:lvl w:ilvl="1">
      <w:start w:val="1"/>
      <w:numFmt w:val="decimal"/>
      <w:lvlText w:val="%1.%2"/>
      <w:lvlJc w:val="left"/>
      <w:pPr>
        <w:tabs>
          <w:tab w:val="num" w:pos="1843"/>
        </w:tabs>
        <w:ind w:left="1843" w:hanging="567"/>
      </w:pPr>
      <w:rPr>
        <w:rFonts w:hint="eastAsia"/>
      </w:rPr>
    </w:lvl>
    <w:lvl w:ilvl="2">
      <w:start w:val="1"/>
      <w:numFmt w:val="decimal"/>
      <w:lvlText w:val="%1.%2.%3"/>
      <w:lvlJc w:val="left"/>
      <w:pPr>
        <w:tabs>
          <w:tab w:val="num" w:pos="2269"/>
        </w:tabs>
        <w:ind w:left="2269" w:hanging="567"/>
      </w:pPr>
      <w:rPr>
        <w:rFonts w:hint="eastAsia"/>
      </w:rPr>
    </w:lvl>
    <w:lvl w:ilvl="3">
      <w:start w:val="1"/>
      <w:numFmt w:val="decimal"/>
      <w:lvlText w:val="%1.%2.%3.%4"/>
      <w:lvlJc w:val="left"/>
      <w:pPr>
        <w:tabs>
          <w:tab w:val="num" w:pos="2835"/>
        </w:tabs>
        <w:ind w:left="2835" w:hanging="708"/>
      </w:pPr>
      <w:rPr>
        <w:rFonts w:hint="eastAsia"/>
      </w:rPr>
    </w:lvl>
    <w:lvl w:ilvl="4">
      <w:start w:val="1"/>
      <w:numFmt w:val="decimal"/>
      <w:lvlText w:val="%1.%2.%3.%4.%5"/>
      <w:lvlJc w:val="left"/>
      <w:pPr>
        <w:tabs>
          <w:tab w:val="num" w:pos="3402"/>
        </w:tabs>
        <w:ind w:left="3402" w:hanging="850"/>
      </w:pPr>
      <w:rPr>
        <w:rFonts w:hint="eastAsia"/>
      </w:rPr>
    </w:lvl>
    <w:lvl w:ilvl="5">
      <w:start w:val="1"/>
      <w:numFmt w:val="decimal"/>
      <w:lvlText w:val="%1.%2.%3.%4.%5.%6"/>
      <w:lvlJc w:val="left"/>
      <w:pPr>
        <w:tabs>
          <w:tab w:val="num" w:pos="4111"/>
        </w:tabs>
        <w:ind w:left="4111" w:hanging="1134"/>
      </w:pPr>
      <w:rPr>
        <w:rFonts w:hint="eastAsia"/>
      </w:rPr>
    </w:lvl>
    <w:lvl w:ilvl="6">
      <w:start w:val="1"/>
      <w:numFmt w:val="decimal"/>
      <w:lvlText w:val="%1.%2.%3.%4.%5.%6.%7"/>
      <w:lvlJc w:val="left"/>
      <w:pPr>
        <w:tabs>
          <w:tab w:val="num" w:pos="4678"/>
        </w:tabs>
        <w:ind w:left="4678" w:hanging="1276"/>
      </w:pPr>
      <w:rPr>
        <w:rFonts w:hint="eastAsia"/>
      </w:rPr>
    </w:lvl>
    <w:lvl w:ilvl="7">
      <w:start w:val="1"/>
      <w:numFmt w:val="decimal"/>
      <w:lvlText w:val="%1.%2.%3.%4.%5.%6.%7.%8"/>
      <w:lvlJc w:val="left"/>
      <w:pPr>
        <w:tabs>
          <w:tab w:val="num" w:pos="5245"/>
        </w:tabs>
        <w:ind w:left="5245" w:hanging="1418"/>
      </w:pPr>
      <w:rPr>
        <w:rFonts w:hint="eastAsia"/>
      </w:rPr>
    </w:lvl>
    <w:lvl w:ilvl="8">
      <w:start w:val="1"/>
      <w:numFmt w:val="decimal"/>
      <w:lvlText w:val="%1.%2.%3.%4.%5.%6.%7.%8.%9"/>
      <w:lvlJc w:val="left"/>
      <w:pPr>
        <w:tabs>
          <w:tab w:val="num" w:pos="5953"/>
        </w:tabs>
        <w:ind w:left="5953" w:hanging="1700"/>
      </w:pPr>
      <w:rPr>
        <w:rFonts w:hint="eastAsia"/>
      </w:rPr>
    </w:lvl>
  </w:abstractNum>
  <w:abstractNum w:abstractNumId="14" w15:restartNumberingAfterBreak="0">
    <w:nsid w:val="690E7AA7"/>
    <w:multiLevelType w:val="multilevel"/>
    <w:tmpl w:val="73A4FD8A"/>
    <w:lvl w:ilvl="0">
      <w:start w:val="2"/>
      <w:numFmt w:val="decimal"/>
      <w:lvlText w:val="%1"/>
      <w:lvlJc w:val="left"/>
      <w:pPr>
        <w:tabs>
          <w:tab w:val="num" w:pos="705"/>
        </w:tabs>
        <w:ind w:left="705" w:hanging="705"/>
      </w:pPr>
      <w:rPr>
        <w:rFonts w:hint="default"/>
        <w:b/>
      </w:rPr>
    </w:lvl>
    <w:lvl w:ilvl="1">
      <w:start w:val="2"/>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800"/>
        </w:tabs>
        <w:ind w:left="1800" w:hanging="1800"/>
      </w:pPr>
      <w:rPr>
        <w:rFonts w:hint="default"/>
        <w:b/>
      </w:rPr>
    </w:lvl>
    <w:lvl w:ilvl="6">
      <w:start w:val="1"/>
      <w:numFmt w:val="decimal"/>
      <w:lvlText w:val="%1.%2.%3.%4.%5.%6.%7"/>
      <w:lvlJc w:val="left"/>
      <w:pPr>
        <w:tabs>
          <w:tab w:val="num" w:pos="2160"/>
        </w:tabs>
        <w:ind w:left="2160" w:hanging="216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520"/>
        </w:tabs>
        <w:ind w:left="2520" w:hanging="2520"/>
      </w:pPr>
      <w:rPr>
        <w:rFonts w:hint="default"/>
        <w:b/>
      </w:rPr>
    </w:lvl>
  </w:abstractNum>
  <w:abstractNum w:abstractNumId="15" w15:restartNumberingAfterBreak="0">
    <w:nsid w:val="6BE44CF6"/>
    <w:multiLevelType w:val="hybridMultilevel"/>
    <w:tmpl w:val="CEFE64A4"/>
    <w:lvl w:ilvl="0" w:tplc="990AC064">
      <w:start w:val="1"/>
      <w:numFmt w:val="decimal"/>
      <w:lvlText w:val="[%1]"/>
      <w:lvlJc w:val="left"/>
      <w:pPr>
        <w:tabs>
          <w:tab w:val="num" w:pos="900"/>
        </w:tabs>
        <w:ind w:left="900" w:hanging="420"/>
      </w:pPr>
      <w:rPr>
        <w:rFonts w:hint="eastAsia"/>
      </w:rPr>
    </w:lvl>
    <w:lvl w:ilvl="1" w:tplc="40AC75A8">
      <w:start w:val="1"/>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15:restartNumberingAfterBreak="0">
    <w:nsid w:val="6DF17EEA"/>
    <w:multiLevelType w:val="hybridMultilevel"/>
    <w:tmpl w:val="690C8C60"/>
    <w:lvl w:ilvl="0" w:tplc="B4E2B140">
      <w:start w:val="1"/>
      <w:numFmt w:val="decimal"/>
      <w:pStyle w:val="1"/>
      <w:lvlText w:val="第%1章"/>
      <w:lvlJc w:val="center"/>
      <w:pPr>
        <w:ind w:left="440" w:hanging="440"/>
      </w:pPr>
      <w:rPr>
        <w:rFonts w:ascii="Times New Roman" w:eastAsia="宋体" w:hAnsi="Times New Roman" w:hint="default"/>
        <w:sz w:val="28"/>
        <w:szCs w:val="28"/>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49087007">
    <w:abstractNumId w:val="1"/>
  </w:num>
  <w:num w:numId="2" w16cid:durableId="185170805">
    <w:abstractNumId w:val="11"/>
  </w:num>
  <w:num w:numId="3" w16cid:durableId="319699573">
    <w:abstractNumId w:val="3"/>
  </w:num>
  <w:num w:numId="4" w16cid:durableId="2085371791">
    <w:abstractNumId w:val="10"/>
  </w:num>
  <w:num w:numId="5" w16cid:durableId="419103033">
    <w:abstractNumId w:val="14"/>
  </w:num>
  <w:num w:numId="6" w16cid:durableId="1325359059">
    <w:abstractNumId w:val="4"/>
  </w:num>
  <w:num w:numId="7" w16cid:durableId="102071003">
    <w:abstractNumId w:val="7"/>
  </w:num>
  <w:num w:numId="8" w16cid:durableId="1864006612">
    <w:abstractNumId w:val="5"/>
  </w:num>
  <w:num w:numId="9" w16cid:durableId="910777056">
    <w:abstractNumId w:val="9"/>
  </w:num>
  <w:num w:numId="10" w16cid:durableId="12730580">
    <w:abstractNumId w:val="8"/>
  </w:num>
  <w:num w:numId="11" w16cid:durableId="15774000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8092325">
    <w:abstractNumId w:val="15"/>
  </w:num>
  <w:num w:numId="13" w16cid:durableId="1622608823">
    <w:abstractNumId w:val="2"/>
  </w:num>
  <w:num w:numId="14" w16cid:durableId="837696965">
    <w:abstractNumId w:val="16"/>
  </w:num>
  <w:num w:numId="15" w16cid:durableId="1641424563">
    <w:abstractNumId w:val="0"/>
  </w:num>
  <w:num w:numId="16" w16cid:durableId="1452163486">
    <w:abstractNumId w:val="13"/>
  </w:num>
  <w:num w:numId="17" w16cid:durableId="1790782196">
    <w:abstractNumId w:val="12"/>
  </w:num>
  <w:num w:numId="18" w16cid:durableId="10505716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oNotHyphenateCaps/>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23"/>
    <w:rsid w:val="00001DF8"/>
    <w:rsid w:val="000110E6"/>
    <w:rsid w:val="000113E8"/>
    <w:rsid w:val="00016526"/>
    <w:rsid w:val="000169DB"/>
    <w:rsid w:val="0001736B"/>
    <w:rsid w:val="00020CB2"/>
    <w:rsid w:val="00021CDB"/>
    <w:rsid w:val="000313B6"/>
    <w:rsid w:val="000337E6"/>
    <w:rsid w:val="00033C8E"/>
    <w:rsid w:val="00033E86"/>
    <w:rsid w:val="0003566F"/>
    <w:rsid w:val="00035B2F"/>
    <w:rsid w:val="00036276"/>
    <w:rsid w:val="00037377"/>
    <w:rsid w:val="00037F41"/>
    <w:rsid w:val="00040282"/>
    <w:rsid w:val="00041B07"/>
    <w:rsid w:val="00044327"/>
    <w:rsid w:val="0004629D"/>
    <w:rsid w:val="000471DC"/>
    <w:rsid w:val="00050AF6"/>
    <w:rsid w:val="00050F71"/>
    <w:rsid w:val="00050F72"/>
    <w:rsid w:val="0005305A"/>
    <w:rsid w:val="00054419"/>
    <w:rsid w:val="00054662"/>
    <w:rsid w:val="000546B3"/>
    <w:rsid w:val="00054FAF"/>
    <w:rsid w:val="00055A31"/>
    <w:rsid w:val="0005664C"/>
    <w:rsid w:val="00056785"/>
    <w:rsid w:val="00060D12"/>
    <w:rsid w:val="00062EEC"/>
    <w:rsid w:val="0006327F"/>
    <w:rsid w:val="000727BC"/>
    <w:rsid w:val="00074BE2"/>
    <w:rsid w:val="00076788"/>
    <w:rsid w:val="00076EA8"/>
    <w:rsid w:val="00080CE5"/>
    <w:rsid w:val="00080E15"/>
    <w:rsid w:val="00081577"/>
    <w:rsid w:val="00082218"/>
    <w:rsid w:val="00084D54"/>
    <w:rsid w:val="000866C7"/>
    <w:rsid w:val="00087B2D"/>
    <w:rsid w:val="000902E5"/>
    <w:rsid w:val="00090900"/>
    <w:rsid w:val="00094220"/>
    <w:rsid w:val="0009489B"/>
    <w:rsid w:val="000A0B7C"/>
    <w:rsid w:val="000A3B8F"/>
    <w:rsid w:val="000A7A7D"/>
    <w:rsid w:val="000B3FDC"/>
    <w:rsid w:val="000C02E0"/>
    <w:rsid w:val="000C0EFD"/>
    <w:rsid w:val="000C434E"/>
    <w:rsid w:val="000C44BB"/>
    <w:rsid w:val="000C50F9"/>
    <w:rsid w:val="000D1070"/>
    <w:rsid w:val="000D2884"/>
    <w:rsid w:val="000D4DFD"/>
    <w:rsid w:val="000D5838"/>
    <w:rsid w:val="000D5B99"/>
    <w:rsid w:val="000E1FC9"/>
    <w:rsid w:val="000E25DD"/>
    <w:rsid w:val="000E2654"/>
    <w:rsid w:val="000E2707"/>
    <w:rsid w:val="000E2ED5"/>
    <w:rsid w:val="000E328F"/>
    <w:rsid w:val="000E3B6E"/>
    <w:rsid w:val="000E3D71"/>
    <w:rsid w:val="000E3D84"/>
    <w:rsid w:val="000E7684"/>
    <w:rsid w:val="000F2721"/>
    <w:rsid w:val="000F2C88"/>
    <w:rsid w:val="000F77E6"/>
    <w:rsid w:val="001009B2"/>
    <w:rsid w:val="00101AA4"/>
    <w:rsid w:val="00101E2C"/>
    <w:rsid w:val="001051E2"/>
    <w:rsid w:val="00106177"/>
    <w:rsid w:val="00110222"/>
    <w:rsid w:val="00114B93"/>
    <w:rsid w:val="0011538A"/>
    <w:rsid w:val="001166EB"/>
    <w:rsid w:val="00120956"/>
    <w:rsid w:val="00120E9E"/>
    <w:rsid w:val="001227EE"/>
    <w:rsid w:val="001261D3"/>
    <w:rsid w:val="00130850"/>
    <w:rsid w:val="00130FCF"/>
    <w:rsid w:val="00131810"/>
    <w:rsid w:val="001328AF"/>
    <w:rsid w:val="00133F69"/>
    <w:rsid w:val="00134225"/>
    <w:rsid w:val="00136031"/>
    <w:rsid w:val="00136C53"/>
    <w:rsid w:val="0013723F"/>
    <w:rsid w:val="00140CAD"/>
    <w:rsid w:val="001448BD"/>
    <w:rsid w:val="00145115"/>
    <w:rsid w:val="0014514E"/>
    <w:rsid w:val="001459D9"/>
    <w:rsid w:val="00146646"/>
    <w:rsid w:val="00146A87"/>
    <w:rsid w:val="00146B0E"/>
    <w:rsid w:val="00146F93"/>
    <w:rsid w:val="0015189C"/>
    <w:rsid w:val="00151B7A"/>
    <w:rsid w:val="001528FB"/>
    <w:rsid w:val="00154FAE"/>
    <w:rsid w:val="00155AB1"/>
    <w:rsid w:val="00156C35"/>
    <w:rsid w:val="00157FD0"/>
    <w:rsid w:val="00160FDC"/>
    <w:rsid w:val="00163AF1"/>
    <w:rsid w:val="00165F75"/>
    <w:rsid w:val="00170BB1"/>
    <w:rsid w:val="00174DD8"/>
    <w:rsid w:val="00175D3F"/>
    <w:rsid w:val="00176EDE"/>
    <w:rsid w:val="001807AD"/>
    <w:rsid w:val="00181712"/>
    <w:rsid w:val="0018258B"/>
    <w:rsid w:val="0018441D"/>
    <w:rsid w:val="00184F6D"/>
    <w:rsid w:val="00185426"/>
    <w:rsid w:val="00185E0E"/>
    <w:rsid w:val="0018601A"/>
    <w:rsid w:val="001875DB"/>
    <w:rsid w:val="0019054B"/>
    <w:rsid w:val="0019353E"/>
    <w:rsid w:val="00194854"/>
    <w:rsid w:val="00195D44"/>
    <w:rsid w:val="001A0571"/>
    <w:rsid w:val="001A193E"/>
    <w:rsid w:val="001A4BE8"/>
    <w:rsid w:val="001A4F77"/>
    <w:rsid w:val="001A5B4F"/>
    <w:rsid w:val="001A5E7E"/>
    <w:rsid w:val="001A6D67"/>
    <w:rsid w:val="001B06AE"/>
    <w:rsid w:val="001B09D4"/>
    <w:rsid w:val="001B15FB"/>
    <w:rsid w:val="001B2A92"/>
    <w:rsid w:val="001B2BB8"/>
    <w:rsid w:val="001B6425"/>
    <w:rsid w:val="001C063D"/>
    <w:rsid w:val="001C0A50"/>
    <w:rsid w:val="001C44ED"/>
    <w:rsid w:val="001C52C4"/>
    <w:rsid w:val="001C6DDC"/>
    <w:rsid w:val="001C7FCC"/>
    <w:rsid w:val="001D01D5"/>
    <w:rsid w:val="001D10F5"/>
    <w:rsid w:val="001E114E"/>
    <w:rsid w:val="001E23C7"/>
    <w:rsid w:val="001E271B"/>
    <w:rsid w:val="001E289D"/>
    <w:rsid w:val="001E2FA1"/>
    <w:rsid w:val="001E4742"/>
    <w:rsid w:val="001E4826"/>
    <w:rsid w:val="001E7B94"/>
    <w:rsid w:val="001F0860"/>
    <w:rsid w:val="001F3F00"/>
    <w:rsid w:val="001F4DA6"/>
    <w:rsid w:val="001F4EB0"/>
    <w:rsid w:val="001F76F2"/>
    <w:rsid w:val="0020064C"/>
    <w:rsid w:val="002046D6"/>
    <w:rsid w:val="0020780D"/>
    <w:rsid w:val="00207BF6"/>
    <w:rsid w:val="00211CCF"/>
    <w:rsid w:val="002131BE"/>
    <w:rsid w:val="0021652E"/>
    <w:rsid w:val="00220F2B"/>
    <w:rsid w:val="00223A99"/>
    <w:rsid w:val="00224463"/>
    <w:rsid w:val="002252E1"/>
    <w:rsid w:val="00227AF1"/>
    <w:rsid w:val="002337B6"/>
    <w:rsid w:val="00234555"/>
    <w:rsid w:val="00234C38"/>
    <w:rsid w:val="00240949"/>
    <w:rsid w:val="00241ED8"/>
    <w:rsid w:val="00243991"/>
    <w:rsid w:val="002453C9"/>
    <w:rsid w:val="0024648F"/>
    <w:rsid w:val="0024706A"/>
    <w:rsid w:val="00250532"/>
    <w:rsid w:val="00251768"/>
    <w:rsid w:val="00254006"/>
    <w:rsid w:val="00260D08"/>
    <w:rsid w:val="002642FB"/>
    <w:rsid w:val="002647FA"/>
    <w:rsid w:val="00264BE2"/>
    <w:rsid w:val="002658CE"/>
    <w:rsid w:val="002668BE"/>
    <w:rsid w:val="002714D7"/>
    <w:rsid w:val="00274FBD"/>
    <w:rsid w:val="00276707"/>
    <w:rsid w:val="00281B65"/>
    <w:rsid w:val="00284E60"/>
    <w:rsid w:val="002863CB"/>
    <w:rsid w:val="0028672B"/>
    <w:rsid w:val="00286C25"/>
    <w:rsid w:val="002879EC"/>
    <w:rsid w:val="00290821"/>
    <w:rsid w:val="002917F6"/>
    <w:rsid w:val="00293B25"/>
    <w:rsid w:val="00294872"/>
    <w:rsid w:val="0029543C"/>
    <w:rsid w:val="00295CB4"/>
    <w:rsid w:val="002965F7"/>
    <w:rsid w:val="00297370"/>
    <w:rsid w:val="002A0123"/>
    <w:rsid w:val="002A0637"/>
    <w:rsid w:val="002A13BC"/>
    <w:rsid w:val="002A1505"/>
    <w:rsid w:val="002A2141"/>
    <w:rsid w:val="002A27CD"/>
    <w:rsid w:val="002A37E4"/>
    <w:rsid w:val="002A512F"/>
    <w:rsid w:val="002A6832"/>
    <w:rsid w:val="002B028B"/>
    <w:rsid w:val="002B22F0"/>
    <w:rsid w:val="002B2458"/>
    <w:rsid w:val="002B3971"/>
    <w:rsid w:val="002B6C4C"/>
    <w:rsid w:val="002C064E"/>
    <w:rsid w:val="002C2F0B"/>
    <w:rsid w:val="002C508D"/>
    <w:rsid w:val="002C604D"/>
    <w:rsid w:val="002C6FC3"/>
    <w:rsid w:val="002D2EAF"/>
    <w:rsid w:val="002D48EE"/>
    <w:rsid w:val="002D5E2B"/>
    <w:rsid w:val="002E06C9"/>
    <w:rsid w:val="002E2967"/>
    <w:rsid w:val="002E30C8"/>
    <w:rsid w:val="002E3BB1"/>
    <w:rsid w:val="002E4AA1"/>
    <w:rsid w:val="002E7814"/>
    <w:rsid w:val="002F107E"/>
    <w:rsid w:val="002F151D"/>
    <w:rsid w:val="002F3F04"/>
    <w:rsid w:val="002F5539"/>
    <w:rsid w:val="00300632"/>
    <w:rsid w:val="00301D4E"/>
    <w:rsid w:val="003052B4"/>
    <w:rsid w:val="00310A49"/>
    <w:rsid w:val="0031229E"/>
    <w:rsid w:val="003134E7"/>
    <w:rsid w:val="00313A7B"/>
    <w:rsid w:val="00314660"/>
    <w:rsid w:val="00316B74"/>
    <w:rsid w:val="003207B8"/>
    <w:rsid w:val="00321DD8"/>
    <w:rsid w:val="00323C20"/>
    <w:rsid w:val="0032578B"/>
    <w:rsid w:val="00326DE7"/>
    <w:rsid w:val="00330B40"/>
    <w:rsid w:val="00331422"/>
    <w:rsid w:val="00332248"/>
    <w:rsid w:val="00332978"/>
    <w:rsid w:val="00332F6D"/>
    <w:rsid w:val="0033401F"/>
    <w:rsid w:val="003352E0"/>
    <w:rsid w:val="0033746A"/>
    <w:rsid w:val="00341968"/>
    <w:rsid w:val="00341A8C"/>
    <w:rsid w:val="00345838"/>
    <w:rsid w:val="00345D35"/>
    <w:rsid w:val="00362E4C"/>
    <w:rsid w:val="00370865"/>
    <w:rsid w:val="00370D19"/>
    <w:rsid w:val="003745E5"/>
    <w:rsid w:val="00375F4D"/>
    <w:rsid w:val="0037662F"/>
    <w:rsid w:val="00384358"/>
    <w:rsid w:val="003863C3"/>
    <w:rsid w:val="003875FE"/>
    <w:rsid w:val="0038776C"/>
    <w:rsid w:val="00387ECC"/>
    <w:rsid w:val="0039336A"/>
    <w:rsid w:val="00394B4C"/>
    <w:rsid w:val="003A1500"/>
    <w:rsid w:val="003A2A66"/>
    <w:rsid w:val="003A369C"/>
    <w:rsid w:val="003A3C9D"/>
    <w:rsid w:val="003A5A21"/>
    <w:rsid w:val="003A637C"/>
    <w:rsid w:val="003A6CBE"/>
    <w:rsid w:val="003B1728"/>
    <w:rsid w:val="003B1FF8"/>
    <w:rsid w:val="003B2F6F"/>
    <w:rsid w:val="003C1004"/>
    <w:rsid w:val="003C1820"/>
    <w:rsid w:val="003C2226"/>
    <w:rsid w:val="003C2440"/>
    <w:rsid w:val="003C4708"/>
    <w:rsid w:val="003C6C54"/>
    <w:rsid w:val="003C77F6"/>
    <w:rsid w:val="003C7CFE"/>
    <w:rsid w:val="003D1580"/>
    <w:rsid w:val="003D19E1"/>
    <w:rsid w:val="003D2495"/>
    <w:rsid w:val="003D3AA1"/>
    <w:rsid w:val="003D40A9"/>
    <w:rsid w:val="003D5DBD"/>
    <w:rsid w:val="003D6E83"/>
    <w:rsid w:val="003E0474"/>
    <w:rsid w:val="003E1BA8"/>
    <w:rsid w:val="003E2425"/>
    <w:rsid w:val="003E28B2"/>
    <w:rsid w:val="003E3864"/>
    <w:rsid w:val="003E4645"/>
    <w:rsid w:val="003E6272"/>
    <w:rsid w:val="003E7098"/>
    <w:rsid w:val="003E7602"/>
    <w:rsid w:val="003F0216"/>
    <w:rsid w:val="003F0460"/>
    <w:rsid w:val="003F05E2"/>
    <w:rsid w:val="003F395D"/>
    <w:rsid w:val="003F4C27"/>
    <w:rsid w:val="004038FB"/>
    <w:rsid w:val="00403A0A"/>
    <w:rsid w:val="00404DA9"/>
    <w:rsid w:val="00405333"/>
    <w:rsid w:val="00406495"/>
    <w:rsid w:val="004116A3"/>
    <w:rsid w:val="00411E21"/>
    <w:rsid w:val="00411FC8"/>
    <w:rsid w:val="00414E64"/>
    <w:rsid w:val="004165DB"/>
    <w:rsid w:val="00420249"/>
    <w:rsid w:val="00420D8D"/>
    <w:rsid w:val="0042165B"/>
    <w:rsid w:val="00422178"/>
    <w:rsid w:val="004221AA"/>
    <w:rsid w:val="00422B05"/>
    <w:rsid w:val="004274CD"/>
    <w:rsid w:val="004278B2"/>
    <w:rsid w:val="00427A96"/>
    <w:rsid w:val="00432775"/>
    <w:rsid w:val="00432B7B"/>
    <w:rsid w:val="0043388E"/>
    <w:rsid w:val="004350A8"/>
    <w:rsid w:val="00437FE8"/>
    <w:rsid w:val="00440A52"/>
    <w:rsid w:val="0044165B"/>
    <w:rsid w:val="00443AE4"/>
    <w:rsid w:val="00443B89"/>
    <w:rsid w:val="00445EB0"/>
    <w:rsid w:val="00446CE7"/>
    <w:rsid w:val="004473D9"/>
    <w:rsid w:val="00447ADB"/>
    <w:rsid w:val="0045026B"/>
    <w:rsid w:val="00450376"/>
    <w:rsid w:val="00451CB6"/>
    <w:rsid w:val="00451FCF"/>
    <w:rsid w:val="00452D88"/>
    <w:rsid w:val="004548A0"/>
    <w:rsid w:val="00456A78"/>
    <w:rsid w:val="00456BCC"/>
    <w:rsid w:val="00460616"/>
    <w:rsid w:val="00461796"/>
    <w:rsid w:val="00461E68"/>
    <w:rsid w:val="0046300A"/>
    <w:rsid w:val="00463ECC"/>
    <w:rsid w:val="0046432D"/>
    <w:rsid w:val="00464953"/>
    <w:rsid w:val="004654FC"/>
    <w:rsid w:val="00465E4D"/>
    <w:rsid w:val="00472255"/>
    <w:rsid w:val="004739CC"/>
    <w:rsid w:val="004745C0"/>
    <w:rsid w:val="0047520A"/>
    <w:rsid w:val="0047662D"/>
    <w:rsid w:val="004803AD"/>
    <w:rsid w:val="004815CC"/>
    <w:rsid w:val="0048202D"/>
    <w:rsid w:val="00482711"/>
    <w:rsid w:val="00482E6A"/>
    <w:rsid w:val="00486162"/>
    <w:rsid w:val="0049042C"/>
    <w:rsid w:val="004912BE"/>
    <w:rsid w:val="004916E9"/>
    <w:rsid w:val="00494437"/>
    <w:rsid w:val="004946D2"/>
    <w:rsid w:val="004967C4"/>
    <w:rsid w:val="00497D8C"/>
    <w:rsid w:val="004A1B0D"/>
    <w:rsid w:val="004A2596"/>
    <w:rsid w:val="004A2B4D"/>
    <w:rsid w:val="004A3514"/>
    <w:rsid w:val="004A3CE2"/>
    <w:rsid w:val="004A3DB3"/>
    <w:rsid w:val="004A4397"/>
    <w:rsid w:val="004A519A"/>
    <w:rsid w:val="004A70CC"/>
    <w:rsid w:val="004B0689"/>
    <w:rsid w:val="004B0C20"/>
    <w:rsid w:val="004B49C7"/>
    <w:rsid w:val="004B50A8"/>
    <w:rsid w:val="004B661A"/>
    <w:rsid w:val="004C0193"/>
    <w:rsid w:val="004C1028"/>
    <w:rsid w:val="004C1FC6"/>
    <w:rsid w:val="004C33B6"/>
    <w:rsid w:val="004C3D2B"/>
    <w:rsid w:val="004C4867"/>
    <w:rsid w:val="004C62E4"/>
    <w:rsid w:val="004C68C1"/>
    <w:rsid w:val="004C7073"/>
    <w:rsid w:val="004D147F"/>
    <w:rsid w:val="004D2A35"/>
    <w:rsid w:val="004D3743"/>
    <w:rsid w:val="004D377B"/>
    <w:rsid w:val="004D46CE"/>
    <w:rsid w:val="004D5B5C"/>
    <w:rsid w:val="004D757C"/>
    <w:rsid w:val="004E1634"/>
    <w:rsid w:val="004E1858"/>
    <w:rsid w:val="004E21A4"/>
    <w:rsid w:val="004E470D"/>
    <w:rsid w:val="004E574A"/>
    <w:rsid w:val="004E59FE"/>
    <w:rsid w:val="004E7110"/>
    <w:rsid w:val="004F0605"/>
    <w:rsid w:val="004F06FC"/>
    <w:rsid w:val="004F0F92"/>
    <w:rsid w:val="004F1A57"/>
    <w:rsid w:val="004F29E2"/>
    <w:rsid w:val="004F3FF3"/>
    <w:rsid w:val="004F4679"/>
    <w:rsid w:val="004F5B99"/>
    <w:rsid w:val="00501736"/>
    <w:rsid w:val="005024D5"/>
    <w:rsid w:val="0050523A"/>
    <w:rsid w:val="005054A9"/>
    <w:rsid w:val="00507DE2"/>
    <w:rsid w:val="0051150D"/>
    <w:rsid w:val="00511EC7"/>
    <w:rsid w:val="0051365D"/>
    <w:rsid w:val="00515DAC"/>
    <w:rsid w:val="005166B1"/>
    <w:rsid w:val="0051715D"/>
    <w:rsid w:val="00520AF6"/>
    <w:rsid w:val="00520EE2"/>
    <w:rsid w:val="00524483"/>
    <w:rsid w:val="005244F0"/>
    <w:rsid w:val="00525AB1"/>
    <w:rsid w:val="00525C24"/>
    <w:rsid w:val="005261C8"/>
    <w:rsid w:val="00530A2E"/>
    <w:rsid w:val="005310CF"/>
    <w:rsid w:val="00535204"/>
    <w:rsid w:val="00535467"/>
    <w:rsid w:val="00536080"/>
    <w:rsid w:val="00543B4C"/>
    <w:rsid w:val="00547877"/>
    <w:rsid w:val="00550688"/>
    <w:rsid w:val="00552788"/>
    <w:rsid w:val="00552BB5"/>
    <w:rsid w:val="0055501B"/>
    <w:rsid w:val="005565BA"/>
    <w:rsid w:val="00557B86"/>
    <w:rsid w:val="005615B1"/>
    <w:rsid w:val="00561C60"/>
    <w:rsid w:val="005633E7"/>
    <w:rsid w:val="00563D4F"/>
    <w:rsid w:val="005656A8"/>
    <w:rsid w:val="0056602A"/>
    <w:rsid w:val="005662C8"/>
    <w:rsid w:val="00567970"/>
    <w:rsid w:val="00571F60"/>
    <w:rsid w:val="00574C8A"/>
    <w:rsid w:val="00575D33"/>
    <w:rsid w:val="005765B9"/>
    <w:rsid w:val="00577C72"/>
    <w:rsid w:val="00582FF7"/>
    <w:rsid w:val="00586EB5"/>
    <w:rsid w:val="00587811"/>
    <w:rsid w:val="00587C0F"/>
    <w:rsid w:val="0059004D"/>
    <w:rsid w:val="005901AC"/>
    <w:rsid w:val="005905A9"/>
    <w:rsid w:val="005910C4"/>
    <w:rsid w:val="005922F8"/>
    <w:rsid w:val="00594C43"/>
    <w:rsid w:val="0059640C"/>
    <w:rsid w:val="00596E1D"/>
    <w:rsid w:val="0059720A"/>
    <w:rsid w:val="00597B39"/>
    <w:rsid w:val="005A11B3"/>
    <w:rsid w:val="005A4E86"/>
    <w:rsid w:val="005A5F90"/>
    <w:rsid w:val="005A7155"/>
    <w:rsid w:val="005B06A5"/>
    <w:rsid w:val="005B3041"/>
    <w:rsid w:val="005B39CB"/>
    <w:rsid w:val="005B4C76"/>
    <w:rsid w:val="005B721F"/>
    <w:rsid w:val="005B7CE6"/>
    <w:rsid w:val="005C05D2"/>
    <w:rsid w:val="005C0B7F"/>
    <w:rsid w:val="005C34CF"/>
    <w:rsid w:val="005C3FE5"/>
    <w:rsid w:val="005C438C"/>
    <w:rsid w:val="005C4A9E"/>
    <w:rsid w:val="005C4B49"/>
    <w:rsid w:val="005C5B4E"/>
    <w:rsid w:val="005C615C"/>
    <w:rsid w:val="005C6A82"/>
    <w:rsid w:val="005D11D8"/>
    <w:rsid w:val="005D3F36"/>
    <w:rsid w:val="005D44B5"/>
    <w:rsid w:val="005D488C"/>
    <w:rsid w:val="005D636C"/>
    <w:rsid w:val="005D6FC4"/>
    <w:rsid w:val="005D7002"/>
    <w:rsid w:val="005E2157"/>
    <w:rsid w:val="005E2727"/>
    <w:rsid w:val="005E32A8"/>
    <w:rsid w:val="005E5BA3"/>
    <w:rsid w:val="005E63BC"/>
    <w:rsid w:val="005E7C93"/>
    <w:rsid w:val="005E7F24"/>
    <w:rsid w:val="005F1460"/>
    <w:rsid w:val="005F4C07"/>
    <w:rsid w:val="005F5817"/>
    <w:rsid w:val="005F76A9"/>
    <w:rsid w:val="005F7B44"/>
    <w:rsid w:val="00600CB1"/>
    <w:rsid w:val="00600D06"/>
    <w:rsid w:val="00602020"/>
    <w:rsid w:val="0060507B"/>
    <w:rsid w:val="006051E5"/>
    <w:rsid w:val="006053A3"/>
    <w:rsid w:val="00611960"/>
    <w:rsid w:val="00612AF8"/>
    <w:rsid w:val="00612DDE"/>
    <w:rsid w:val="0061485E"/>
    <w:rsid w:val="00616995"/>
    <w:rsid w:val="00621B4B"/>
    <w:rsid w:val="00623E7A"/>
    <w:rsid w:val="006247E8"/>
    <w:rsid w:val="0062762D"/>
    <w:rsid w:val="00630B8D"/>
    <w:rsid w:val="00630FD3"/>
    <w:rsid w:val="006337BF"/>
    <w:rsid w:val="00634CB7"/>
    <w:rsid w:val="0063691A"/>
    <w:rsid w:val="0063741C"/>
    <w:rsid w:val="00637A6E"/>
    <w:rsid w:val="00640CBC"/>
    <w:rsid w:val="0064158A"/>
    <w:rsid w:val="0064261A"/>
    <w:rsid w:val="00642D20"/>
    <w:rsid w:val="00643A39"/>
    <w:rsid w:val="00643D1B"/>
    <w:rsid w:val="00644AFC"/>
    <w:rsid w:val="00647123"/>
    <w:rsid w:val="006476AF"/>
    <w:rsid w:val="0064787D"/>
    <w:rsid w:val="00647D9F"/>
    <w:rsid w:val="0065682E"/>
    <w:rsid w:val="006572FF"/>
    <w:rsid w:val="00660175"/>
    <w:rsid w:val="006643DF"/>
    <w:rsid w:val="0066457E"/>
    <w:rsid w:val="00665062"/>
    <w:rsid w:val="006667C9"/>
    <w:rsid w:val="00666984"/>
    <w:rsid w:val="0066723D"/>
    <w:rsid w:val="00667717"/>
    <w:rsid w:val="00670F6E"/>
    <w:rsid w:val="006713A7"/>
    <w:rsid w:val="00671FFF"/>
    <w:rsid w:val="006746DB"/>
    <w:rsid w:val="00675459"/>
    <w:rsid w:val="00676F6A"/>
    <w:rsid w:val="006831DC"/>
    <w:rsid w:val="0068356A"/>
    <w:rsid w:val="0068652D"/>
    <w:rsid w:val="00686F76"/>
    <w:rsid w:val="00687894"/>
    <w:rsid w:val="00690278"/>
    <w:rsid w:val="00695140"/>
    <w:rsid w:val="006A0665"/>
    <w:rsid w:val="006A45BA"/>
    <w:rsid w:val="006A5EEE"/>
    <w:rsid w:val="006A73E8"/>
    <w:rsid w:val="006B12E3"/>
    <w:rsid w:val="006B3D6C"/>
    <w:rsid w:val="006B5DAE"/>
    <w:rsid w:val="006B6458"/>
    <w:rsid w:val="006C10F3"/>
    <w:rsid w:val="006C183B"/>
    <w:rsid w:val="006C27C1"/>
    <w:rsid w:val="006C436C"/>
    <w:rsid w:val="006C44F1"/>
    <w:rsid w:val="006C4778"/>
    <w:rsid w:val="006C661E"/>
    <w:rsid w:val="006D03B7"/>
    <w:rsid w:val="006D0758"/>
    <w:rsid w:val="006D0C5D"/>
    <w:rsid w:val="006D0D4B"/>
    <w:rsid w:val="006D3F56"/>
    <w:rsid w:val="006D5B3C"/>
    <w:rsid w:val="006D7EE8"/>
    <w:rsid w:val="006E5E59"/>
    <w:rsid w:val="006E79CE"/>
    <w:rsid w:val="006F0763"/>
    <w:rsid w:val="006F1392"/>
    <w:rsid w:val="006F3EFA"/>
    <w:rsid w:val="006F44DD"/>
    <w:rsid w:val="006F4862"/>
    <w:rsid w:val="006F6ECB"/>
    <w:rsid w:val="0070150B"/>
    <w:rsid w:val="00701EF6"/>
    <w:rsid w:val="00702FD0"/>
    <w:rsid w:val="00707771"/>
    <w:rsid w:val="00707D35"/>
    <w:rsid w:val="007157D1"/>
    <w:rsid w:val="00716C8A"/>
    <w:rsid w:val="00722ED6"/>
    <w:rsid w:val="00725B46"/>
    <w:rsid w:val="00726B1D"/>
    <w:rsid w:val="00727E38"/>
    <w:rsid w:val="007303C1"/>
    <w:rsid w:val="00731452"/>
    <w:rsid w:val="00731EF1"/>
    <w:rsid w:val="0073347F"/>
    <w:rsid w:val="00735010"/>
    <w:rsid w:val="0073592B"/>
    <w:rsid w:val="00735B94"/>
    <w:rsid w:val="00736566"/>
    <w:rsid w:val="00736D3E"/>
    <w:rsid w:val="00737A7E"/>
    <w:rsid w:val="00742113"/>
    <w:rsid w:val="007425F4"/>
    <w:rsid w:val="00750134"/>
    <w:rsid w:val="007502EB"/>
    <w:rsid w:val="00751C90"/>
    <w:rsid w:val="007530A4"/>
    <w:rsid w:val="00754AC3"/>
    <w:rsid w:val="00755CF5"/>
    <w:rsid w:val="00763D0C"/>
    <w:rsid w:val="00763D84"/>
    <w:rsid w:val="00764FA0"/>
    <w:rsid w:val="00770821"/>
    <w:rsid w:val="0077114B"/>
    <w:rsid w:val="00771164"/>
    <w:rsid w:val="00774468"/>
    <w:rsid w:val="00774E1A"/>
    <w:rsid w:val="007757F2"/>
    <w:rsid w:val="00776F5B"/>
    <w:rsid w:val="00777546"/>
    <w:rsid w:val="00780BE0"/>
    <w:rsid w:val="007849EF"/>
    <w:rsid w:val="0078673A"/>
    <w:rsid w:val="00786FCB"/>
    <w:rsid w:val="0079110D"/>
    <w:rsid w:val="00793175"/>
    <w:rsid w:val="007959EE"/>
    <w:rsid w:val="00797026"/>
    <w:rsid w:val="007A1A00"/>
    <w:rsid w:val="007A297F"/>
    <w:rsid w:val="007A58AD"/>
    <w:rsid w:val="007A5DD7"/>
    <w:rsid w:val="007A62B3"/>
    <w:rsid w:val="007B1CBE"/>
    <w:rsid w:val="007C16E4"/>
    <w:rsid w:val="007C2313"/>
    <w:rsid w:val="007C25B5"/>
    <w:rsid w:val="007C6F67"/>
    <w:rsid w:val="007D1A6B"/>
    <w:rsid w:val="007D1DC7"/>
    <w:rsid w:val="007D2A9C"/>
    <w:rsid w:val="007D3F0F"/>
    <w:rsid w:val="007D41D6"/>
    <w:rsid w:val="007D68CE"/>
    <w:rsid w:val="007D6D1C"/>
    <w:rsid w:val="007E013B"/>
    <w:rsid w:val="007E337D"/>
    <w:rsid w:val="007E3D29"/>
    <w:rsid w:val="007E6CAE"/>
    <w:rsid w:val="007F1C65"/>
    <w:rsid w:val="007F2414"/>
    <w:rsid w:val="007F427E"/>
    <w:rsid w:val="007F45A2"/>
    <w:rsid w:val="007F45B2"/>
    <w:rsid w:val="007F5858"/>
    <w:rsid w:val="007F5F60"/>
    <w:rsid w:val="008009F6"/>
    <w:rsid w:val="00800C6B"/>
    <w:rsid w:val="008043A5"/>
    <w:rsid w:val="00805F1E"/>
    <w:rsid w:val="00806D10"/>
    <w:rsid w:val="00810EF1"/>
    <w:rsid w:val="00811BF7"/>
    <w:rsid w:val="00812B41"/>
    <w:rsid w:val="00814564"/>
    <w:rsid w:val="00815534"/>
    <w:rsid w:val="008159E9"/>
    <w:rsid w:val="00816006"/>
    <w:rsid w:val="00816695"/>
    <w:rsid w:val="0081673A"/>
    <w:rsid w:val="00817284"/>
    <w:rsid w:val="00817D6A"/>
    <w:rsid w:val="00824E88"/>
    <w:rsid w:val="00827142"/>
    <w:rsid w:val="00827AFA"/>
    <w:rsid w:val="00827E4A"/>
    <w:rsid w:val="00832A78"/>
    <w:rsid w:val="00842465"/>
    <w:rsid w:val="00844317"/>
    <w:rsid w:val="00844D6E"/>
    <w:rsid w:val="00845BA3"/>
    <w:rsid w:val="00847E98"/>
    <w:rsid w:val="00850B06"/>
    <w:rsid w:val="00851898"/>
    <w:rsid w:val="008547C9"/>
    <w:rsid w:val="00855060"/>
    <w:rsid w:val="0085753B"/>
    <w:rsid w:val="0086107E"/>
    <w:rsid w:val="00862497"/>
    <w:rsid w:val="0087076C"/>
    <w:rsid w:val="00870D1B"/>
    <w:rsid w:val="00871C9B"/>
    <w:rsid w:val="00873F58"/>
    <w:rsid w:val="00874680"/>
    <w:rsid w:val="00875791"/>
    <w:rsid w:val="00877C66"/>
    <w:rsid w:val="0088077C"/>
    <w:rsid w:val="00881B30"/>
    <w:rsid w:val="00883480"/>
    <w:rsid w:val="008836F3"/>
    <w:rsid w:val="0088441D"/>
    <w:rsid w:val="00884EF8"/>
    <w:rsid w:val="008869A7"/>
    <w:rsid w:val="0089283F"/>
    <w:rsid w:val="00894176"/>
    <w:rsid w:val="00896910"/>
    <w:rsid w:val="008A1544"/>
    <w:rsid w:val="008A3CC1"/>
    <w:rsid w:val="008B325C"/>
    <w:rsid w:val="008B3324"/>
    <w:rsid w:val="008B369D"/>
    <w:rsid w:val="008B5804"/>
    <w:rsid w:val="008B599D"/>
    <w:rsid w:val="008B5D4B"/>
    <w:rsid w:val="008C0418"/>
    <w:rsid w:val="008C2150"/>
    <w:rsid w:val="008C2475"/>
    <w:rsid w:val="008C436A"/>
    <w:rsid w:val="008C4B71"/>
    <w:rsid w:val="008C75BC"/>
    <w:rsid w:val="008C7B84"/>
    <w:rsid w:val="008D1704"/>
    <w:rsid w:val="008D3113"/>
    <w:rsid w:val="008D4251"/>
    <w:rsid w:val="008E0184"/>
    <w:rsid w:val="008E27E2"/>
    <w:rsid w:val="008E3389"/>
    <w:rsid w:val="008E474A"/>
    <w:rsid w:val="008E4856"/>
    <w:rsid w:val="008E523A"/>
    <w:rsid w:val="008E640C"/>
    <w:rsid w:val="008E73E4"/>
    <w:rsid w:val="008E7E31"/>
    <w:rsid w:val="008F01A2"/>
    <w:rsid w:val="008F2F58"/>
    <w:rsid w:val="008F4FDF"/>
    <w:rsid w:val="008F50CE"/>
    <w:rsid w:val="00900AE7"/>
    <w:rsid w:val="00903660"/>
    <w:rsid w:val="00903F5A"/>
    <w:rsid w:val="00904B7A"/>
    <w:rsid w:val="0090664E"/>
    <w:rsid w:val="00906A3B"/>
    <w:rsid w:val="009077C4"/>
    <w:rsid w:val="0091149D"/>
    <w:rsid w:val="0091154D"/>
    <w:rsid w:val="00911DA4"/>
    <w:rsid w:val="00912BE9"/>
    <w:rsid w:val="00915978"/>
    <w:rsid w:val="00916005"/>
    <w:rsid w:val="009176C1"/>
    <w:rsid w:val="009201C4"/>
    <w:rsid w:val="009209D2"/>
    <w:rsid w:val="00921299"/>
    <w:rsid w:val="00930EA3"/>
    <w:rsid w:val="009323AF"/>
    <w:rsid w:val="009323C2"/>
    <w:rsid w:val="00932BCF"/>
    <w:rsid w:val="00932D31"/>
    <w:rsid w:val="0093567D"/>
    <w:rsid w:val="0093786F"/>
    <w:rsid w:val="00937989"/>
    <w:rsid w:val="0094085B"/>
    <w:rsid w:val="009422D1"/>
    <w:rsid w:val="00942BF0"/>
    <w:rsid w:val="00943917"/>
    <w:rsid w:val="00946AD1"/>
    <w:rsid w:val="00950CFC"/>
    <w:rsid w:val="009517C8"/>
    <w:rsid w:val="00952260"/>
    <w:rsid w:val="00965007"/>
    <w:rsid w:val="00965C3D"/>
    <w:rsid w:val="00967DC1"/>
    <w:rsid w:val="00971139"/>
    <w:rsid w:val="00971CF4"/>
    <w:rsid w:val="00974E8C"/>
    <w:rsid w:val="00975B71"/>
    <w:rsid w:val="009761F1"/>
    <w:rsid w:val="00976608"/>
    <w:rsid w:val="009804E9"/>
    <w:rsid w:val="00980C19"/>
    <w:rsid w:val="00980E8A"/>
    <w:rsid w:val="00983884"/>
    <w:rsid w:val="00985ECB"/>
    <w:rsid w:val="00986B61"/>
    <w:rsid w:val="00987CF4"/>
    <w:rsid w:val="00990931"/>
    <w:rsid w:val="00990CC1"/>
    <w:rsid w:val="009943BE"/>
    <w:rsid w:val="009950B8"/>
    <w:rsid w:val="009967DD"/>
    <w:rsid w:val="009968DF"/>
    <w:rsid w:val="00996CC0"/>
    <w:rsid w:val="00997A83"/>
    <w:rsid w:val="009A3DF0"/>
    <w:rsid w:val="009A4409"/>
    <w:rsid w:val="009A608D"/>
    <w:rsid w:val="009A680D"/>
    <w:rsid w:val="009A6C5D"/>
    <w:rsid w:val="009A6D8D"/>
    <w:rsid w:val="009A758D"/>
    <w:rsid w:val="009B0D7C"/>
    <w:rsid w:val="009B2CDF"/>
    <w:rsid w:val="009B49D7"/>
    <w:rsid w:val="009B5C2F"/>
    <w:rsid w:val="009B5D8C"/>
    <w:rsid w:val="009B632C"/>
    <w:rsid w:val="009B72C8"/>
    <w:rsid w:val="009B7B7A"/>
    <w:rsid w:val="009B7C9F"/>
    <w:rsid w:val="009C32E1"/>
    <w:rsid w:val="009C583A"/>
    <w:rsid w:val="009C6182"/>
    <w:rsid w:val="009C6453"/>
    <w:rsid w:val="009C6636"/>
    <w:rsid w:val="009D2878"/>
    <w:rsid w:val="009D2C85"/>
    <w:rsid w:val="009D5FB7"/>
    <w:rsid w:val="009E039C"/>
    <w:rsid w:val="009E4319"/>
    <w:rsid w:val="009E43A9"/>
    <w:rsid w:val="009E58BF"/>
    <w:rsid w:val="009F107C"/>
    <w:rsid w:val="009F19DA"/>
    <w:rsid w:val="009F21D9"/>
    <w:rsid w:val="009F305A"/>
    <w:rsid w:val="009F3D14"/>
    <w:rsid w:val="009F4241"/>
    <w:rsid w:val="009F44D6"/>
    <w:rsid w:val="00A0106A"/>
    <w:rsid w:val="00A01B61"/>
    <w:rsid w:val="00A01DD3"/>
    <w:rsid w:val="00A02AE2"/>
    <w:rsid w:val="00A03B04"/>
    <w:rsid w:val="00A04C5D"/>
    <w:rsid w:val="00A05221"/>
    <w:rsid w:val="00A0557F"/>
    <w:rsid w:val="00A144AA"/>
    <w:rsid w:val="00A16C42"/>
    <w:rsid w:val="00A16E31"/>
    <w:rsid w:val="00A216F8"/>
    <w:rsid w:val="00A22910"/>
    <w:rsid w:val="00A22C77"/>
    <w:rsid w:val="00A24AA5"/>
    <w:rsid w:val="00A269B8"/>
    <w:rsid w:val="00A27DE7"/>
    <w:rsid w:val="00A30920"/>
    <w:rsid w:val="00A41B68"/>
    <w:rsid w:val="00A42172"/>
    <w:rsid w:val="00A4227D"/>
    <w:rsid w:val="00A45A77"/>
    <w:rsid w:val="00A46723"/>
    <w:rsid w:val="00A50A84"/>
    <w:rsid w:val="00A51178"/>
    <w:rsid w:val="00A51941"/>
    <w:rsid w:val="00A52937"/>
    <w:rsid w:val="00A52F50"/>
    <w:rsid w:val="00A549E2"/>
    <w:rsid w:val="00A562BD"/>
    <w:rsid w:val="00A5783B"/>
    <w:rsid w:val="00A61658"/>
    <w:rsid w:val="00A61D60"/>
    <w:rsid w:val="00A61DB4"/>
    <w:rsid w:val="00A62056"/>
    <w:rsid w:val="00A633FF"/>
    <w:rsid w:val="00A651A2"/>
    <w:rsid w:val="00A662FB"/>
    <w:rsid w:val="00A6632C"/>
    <w:rsid w:val="00A7213B"/>
    <w:rsid w:val="00A72508"/>
    <w:rsid w:val="00A735E2"/>
    <w:rsid w:val="00A73D26"/>
    <w:rsid w:val="00A74E4A"/>
    <w:rsid w:val="00A7532D"/>
    <w:rsid w:val="00A821CF"/>
    <w:rsid w:val="00A8235B"/>
    <w:rsid w:val="00A83469"/>
    <w:rsid w:val="00A8372B"/>
    <w:rsid w:val="00A84579"/>
    <w:rsid w:val="00A84640"/>
    <w:rsid w:val="00A84AE0"/>
    <w:rsid w:val="00A86191"/>
    <w:rsid w:val="00A87C94"/>
    <w:rsid w:val="00A87D2D"/>
    <w:rsid w:val="00A9015B"/>
    <w:rsid w:val="00A91407"/>
    <w:rsid w:val="00A925F6"/>
    <w:rsid w:val="00A945CB"/>
    <w:rsid w:val="00A94F8B"/>
    <w:rsid w:val="00A95122"/>
    <w:rsid w:val="00A97DAE"/>
    <w:rsid w:val="00AA1744"/>
    <w:rsid w:val="00AA204A"/>
    <w:rsid w:val="00AA23CB"/>
    <w:rsid w:val="00AA4DA3"/>
    <w:rsid w:val="00AA55A1"/>
    <w:rsid w:val="00AA6979"/>
    <w:rsid w:val="00AB10B4"/>
    <w:rsid w:val="00AB4329"/>
    <w:rsid w:val="00AB4AD3"/>
    <w:rsid w:val="00AB4BA9"/>
    <w:rsid w:val="00AB4EDF"/>
    <w:rsid w:val="00AB560F"/>
    <w:rsid w:val="00AC1B2D"/>
    <w:rsid w:val="00AC3107"/>
    <w:rsid w:val="00AC36B6"/>
    <w:rsid w:val="00AC3E02"/>
    <w:rsid w:val="00AC608B"/>
    <w:rsid w:val="00AC6C20"/>
    <w:rsid w:val="00AD026C"/>
    <w:rsid w:val="00AD1AF6"/>
    <w:rsid w:val="00AD20F3"/>
    <w:rsid w:val="00AD410A"/>
    <w:rsid w:val="00AD4D9C"/>
    <w:rsid w:val="00AD532C"/>
    <w:rsid w:val="00AD7215"/>
    <w:rsid w:val="00AE0038"/>
    <w:rsid w:val="00AE0F1D"/>
    <w:rsid w:val="00AE255B"/>
    <w:rsid w:val="00AE3670"/>
    <w:rsid w:val="00AE5639"/>
    <w:rsid w:val="00AF0759"/>
    <w:rsid w:val="00AF19B8"/>
    <w:rsid w:val="00AF19C3"/>
    <w:rsid w:val="00AF29EC"/>
    <w:rsid w:val="00AF3065"/>
    <w:rsid w:val="00AF41C2"/>
    <w:rsid w:val="00AF428F"/>
    <w:rsid w:val="00AF71E8"/>
    <w:rsid w:val="00AF7597"/>
    <w:rsid w:val="00AF77BF"/>
    <w:rsid w:val="00AF7A2E"/>
    <w:rsid w:val="00B01931"/>
    <w:rsid w:val="00B03808"/>
    <w:rsid w:val="00B03B77"/>
    <w:rsid w:val="00B03FEC"/>
    <w:rsid w:val="00B0422A"/>
    <w:rsid w:val="00B11CE1"/>
    <w:rsid w:val="00B17DEF"/>
    <w:rsid w:val="00B2310D"/>
    <w:rsid w:val="00B25DE8"/>
    <w:rsid w:val="00B321A2"/>
    <w:rsid w:val="00B32A8B"/>
    <w:rsid w:val="00B32B0F"/>
    <w:rsid w:val="00B32D83"/>
    <w:rsid w:val="00B34662"/>
    <w:rsid w:val="00B36F3D"/>
    <w:rsid w:val="00B373A9"/>
    <w:rsid w:val="00B37565"/>
    <w:rsid w:val="00B400FC"/>
    <w:rsid w:val="00B42C9D"/>
    <w:rsid w:val="00B44BE9"/>
    <w:rsid w:val="00B45BB2"/>
    <w:rsid w:val="00B45D24"/>
    <w:rsid w:val="00B509F2"/>
    <w:rsid w:val="00B50D5E"/>
    <w:rsid w:val="00B51113"/>
    <w:rsid w:val="00B51DC2"/>
    <w:rsid w:val="00B51F22"/>
    <w:rsid w:val="00B51FD1"/>
    <w:rsid w:val="00B5344E"/>
    <w:rsid w:val="00B56044"/>
    <w:rsid w:val="00B566ED"/>
    <w:rsid w:val="00B6010D"/>
    <w:rsid w:val="00B60F72"/>
    <w:rsid w:val="00B615EA"/>
    <w:rsid w:val="00B61E5A"/>
    <w:rsid w:val="00B6211E"/>
    <w:rsid w:val="00B640F2"/>
    <w:rsid w:val="00B64CEA"/>
    <w:rsid w:val="00B65E12"/>
    <w:rsid w:val="00B664CC"/>
    <w:rsid w:val="00B671D4"/>
    <w:rsid w:val="00B67485"/>
    <w:rsid w:val="00B715DE"/>
    <w:rsid w:val="00B75663"/>
    <w:rsid w:val="00B756BC"/>
    <w:rsid w:val="00B75A9A"/>
    <w:rsid w:val="00B763F5"/>
    <w:rsid w:val="00B7765E"/>
    <w:rsid w:val="00B81401"/>
    <w:rsid w:val="00B86D47"/>
    <w:rsid w:val="00B94968"/>
    <w:rsid w:val="00B955F6"/>
    <w:rsid w:val="00B9602D"/>
    <w:rsid w:val="00B97FF8"/>
    <w:rsid w:val="00BA0E0E"/>
    <w:rsid w:val="00BA1242"/>
    <w:rsid w:val="00BA1B87"/>
    <w:rsid w:val="00BA2339"/>
    <w:rsid w:val="00BA3DF4"/>
    <w:rsid w:val="00BA423E"/>
    <w:rsid w:val="00BA4B36"/>
    <w:rsid w:val="00BA4E66"/>
    <w:rsid w:val="00BA55CB"/>
    <w:rsid w:val="00BA711C"/>
    <w:rsid w:val="00BA7E7F"/>
    <w:rsid w:val="00BB0647"/>
    <w:rsid w:val="00BB218E"/>
    <w:rsid w:val="00BB3035"/>
    <w:rsid w:val="00BB4B3C"/>
    <w:rsid w:val="00BB60B5"/>
    <w:rsid w:val="00BB6A97"/>
    <w:rsid w:val="00BC5E90"/>
    <w:rsid w:val="00BC5EF6"/>
    <w:rsid w:val="00BD113D"/>
    <w:rsid w:val="00BD122B"/>
    <w:rsid w:val="00BD5CA5"/>
    <w:rsid w:val="00BD5D18"/>
    <w:rsid w:val="00BE0018"/>
    <w:rsid w:val="00BE0EB2"/>
    <w:rsid w:val="00BE1B3E"/>
    <w:rsid w:val="00BE20D1"/>
    <w:rsid w:val="00BE33A4"/>
    <w:rsid w:val="00BE42D0"/>
    <w:rsid w:val="00BE4ABA"/>
    <w:rsid w:val="00BE714B"/>
    <w:rsid w:val="00BF07B3"/>
    <w:rsid w:val="00BF1BD9"/>
    <w:rsid w:val="00BF20B1"/>
    <w:rsid w:val="00BF2885"/>
    <w:rsid w:val="00BF29E0"/>
    <w:rsid w:val="00BF4458"/>
    <w:rsid w:val="00BF713B"/>
    <w:rsid w:val="00BF778A"/>
    <w:rsid w:val="00BF7DB5"/>
    <w:rsid w:val="00C02557"/>
    <w:rsid w:val="00C03510"/>
    <w:rsid w:val="00C03750"/>
    <w:rsid w:val="00C03FD5"/>
    <w:rsid w:val="00C06253"/>
    <w:rsid w:val="00C06376"/>
    <w:rsid w:val="00C06535"/>
    <w:rsid w:val="00C123FA"/>
    <w:rsid w:val="00C12616"/>
    <w:rsid w:val="00C13C07"/>
    <w:rsid w:val="00C17744"/>
    <w:rsid w:val="00C205F5"/>
    <w:rsid w:val="00C22274"/>
    <w:rsid w:val="00C22689"/>
    <w:rsid w:val="00C23032"/>
    <w:rsid w:val="00C232FC"/>
    <w:rsid w:val="00C24F4D"/>
    <w:rsid w:val="00C26994"/>
    <w:rsid w:val="00C26E76"/>
    <w:rsid w:val="00C27A03"/>
    <w:rsid w:val="00C326CD"/>
    <w:rsid w:val="00C34F71"/>
    <w:rsid w:val="00C35975"/>
    <w:rsid w:val="00C35F17"/>
    <w:rsid w:val="00C37926"/>
    <w:rsid w:val="00C414E5"/>
    <w:rsid w:val="00C4204D"/>
    <w:rsid w:val="00C42118"/>
    <w:rsid w:val="00C428CD"/>
    <w:rsid w:val="00C43280"/>
    <w:rsid w:val="00C44AFC"/>
    <w:rsid w:val="00C44F8B"/>
    <w:rsid w:val="00C46126"/>
    <w:rsid w:val="00C50097"/>
    <w:rsid w:val="00C502E7"/>
    <w:rsid w:val="00C527A1"/>
    <w:rsid w:val="00C5378D"/>
    <w:rsid w:val="00C5509F"/>
    <w:rsid w:val="00C567A0"/>
    <w:rsid w:val="00C57732"/>
    <w:rsid w:val="00C579BB"/>
    <w:rsid w:val="00C57ADD"/>
    <w:rsid w:val="00C616D9"/>
    <w:rsid w:val="00C617AA"/>
    <w:rsid w:val="00C61D96"/>
    <w:rsid w:val="00C66C65"/>
    <w:rsid w:val="00C7080A"/>
    <w:rsid w:val="00C73F06"/>
    <w:rsid w:val="00C80545"/>
    <w:rsid w:val="00C80C2B"/>
    <w:rsid w:val="00C8107F"/>
    <w:rsid w:val="00C8381B"/>
    <w:rsid w:val="00C83A7A"/>
    <w:rsid w:val="00C91254"/>
    <w:rsid w:val="00C9302D"/>
    <w:rsid w:val="00C943D0"/>
    <w:rsid w:val="00C95E08"/>
    <w:rsid w:val="00C96C31"/>
    <w:rsid w:val="00C97F18"/>
    <w:rsid w:val="00CA1ECB"/>
    <w:rsid w:val="00CA2368"/>
    <w:rsid w:val="00CA2DED"/>
    <w:rsid w:val="00CA4277"/>
    <w:rsid w:val="00CA7584"/>
    <w:rsid w:val="00CB094B"/>
    <w:rsid w:val="00CB0E6F"/>
    <w:rsid w:val="00CB3578"/>
    <w:rsid w:val="00CB3A63"/>
    <w:rsid w:val="00CB3DB2"/>
    <w:rsid w:val="00CB4C79"/>
    <w:rsid w:val="00CB7085"/>
    <w:rsid w:val="00CB74D2"/>
    <w:rsid w:val="00CC20A1"/>
    <w:rsid w:val="00CC2678"/>
    <w:rsid w:val="00CC2743"/>
    <w:rsid w:val="00CC3A3D"/>
    <w:rsid w:val="00CC44ED"/>
    <w:rsid w:val="00CC4CB8"/>
    <w:rsid w:val="00CC5768"/>
    <w:rsid w:val="00CC6BA5"/>
    <w:rsid w:val="00CC6F89"/>
    <w:rsid w:val="00CD0F9F"/>
    <w:rsid w:val="00CD114B"/>
    <w:rsid w:val="00CD4806"/>
    <w:rsid w:val="00CD48ED"/>
    <w:rsid w:val="00CD4A5C"/>
    <w:rsid w:val="00CD5011"/>
    <w:rsid w:val="00CD54E0"/>
    <w:rsid w:val="00CE56B9"/>
    <w:rsid w:val="00CE5781"/>
    <w:rsid w:val="00CF181A"/>
    <w:rsid w:val="00CF1CEB"/>
    <w:rsid w:val="00CF3FE0"/>
    <w:rsid w:val="00CF44C2"/>
    <w:rsid w:val="00CF450C"/>
    <w:rsid w:val="00CF6A1C"/>
    <w:rsid w:val="00CF75FF"/>
    <w:rsid w:val="00CF7AA8"/>
    <w:rsid w:val="00D025C5"/>
    <w:rsid w:val="00D06B4A"/>
    <w:rsid w:val="00D126C5"/>
    <w:rsid w:val="00D14587"/>
    <w:rsid w:val="00D17E4A"/>
    <w:rsid w:val="00D20359"/>
    <w:rsid w:val="00D20D7A"/>
    <w:rsid w:val="00D22669"/>
    <w:rsid w:val="00D24323"/>
    <w:rsid w:val="00D24932"/>
    <w:rsid w:val="00D253FF"/>
    <w:rsid w:val="00D254AB"/>
    <w:rsid w:val="00D25BA4"/>
    <w:rsid w:val="00D26E27"/>
    <w:rsid w:val="00D32049"/>
    <w:rsid w:val="00D336C6"/>
    <w:rsid w:val="00D33978"/>
    <w:rsid w:val="00D3471A"/>
    <w:rsid w:val="00D35903"/>
    <w:rsid w:val="00D360BB"/>
    <w:rsid w:val="00D40D4D"/>
    <w:rsid w:val="00D41651"/>
    <w:rsid w:val="00D428CB"/>
    <w:rsid w:val="00D44B91"/>
    <w:rsid w:val="00D45015"/>
    <w:rsid w:val="00D516CC"/>
    <w:rsid w:val="00D5231A"/>
    <w:rsid w:val="00D526CD"/>
    <w:rsid w:val="00D5494F"/>
    <w:rsid w:val="00D56F08"/>
    <w:rsid w:val="00D57094"/>
    <w:rsid w:val="00D618B8"/>
    <w:rsid w:val="00D62343"/>
    <w:rsid w:val="00D6379B"/>
    <w:rsid w:val="00D64346"/>
    <w:rsid w:val="00D71726"/>
    <w:rsid w:val="00D720B7"/>
    <w:rsid w:val="00D722BB"/>
    <w:rsid w:val="00D73C19"/>
    <w:rsid w:val="00D742EE"/>
    <w:rsid w:val="00D74536"/>
    <w:rsid w:val="00D75529"/>
    <w:rsid w:val="00D80F03"/>
    <w:rsid w:val="00D8665B"/>
    <w:rsid w:val="00D904E2"/>
    <w:rsid w:val="00D924F4"/>
    <w:rsid w:val="00D93686"/>
    <w:rsid w:val="00DA08D7"/>
    <w:rsid w:val="00DA0CF6"/>
    <w:rsid w:val="00DA0ECE"/>
    <w:rsid w:val="00DA141F"/>
    <w:rsid w:val="00DA59A6"/>
    <w:rsid w:val="00DB0497"/>
    <w:rsid w:val="00DB169A"/>
    <w:rsid w:val="00DB1B7C"/>
    <w:rsid w:val="00DB49EB"/>
    <w:rsid w:val="00DB7877"/>
    <w:rsid w:val="00DC00DE"/>
    <w:rsid w:val="00DC1CB9"/>
    <w:rsid w:val="00DC411B"/>
    <w:rsid w:val="00DC5FB5"/>
    <w:rsid w:val="00DC79A1"/>
    <w:rsid w:val="00DD0227"/>
    <w:rsid w:val="00DD2504"/>
    <w:rsid w:val="00DD27D1"/>
    <w:rsid w:val="00DD3F0A"/>
    <w:rsid w:val="00DD6450"/>
    <w:rsid w:val="00DD6BBD"/>
    <w:rsid w:val="00DD6FDC"/>
    <w:rsid w:val="00DD72C9"/>
    <w:rsid w:val="00DE36AA"/>
    <w:rsid w:val="00DE3FEF"/>
    <w:rsid w:val="00DF0AF6"/>
    <w:rsid w:val="00DF107F"/>
    <w:rsid w:val="00DF2DBB"/>
    <w:rsid w:val="00DF3A69"/>
    <w:rsid w:val="00DF3E2C"/>
    <w:rsid w:val="00DF5792"/>
    <w:rsid w:val="00DF5DDA"/>
    <w:rsid w:val="00DF6727"/>
    <w:rsid w:val="00DF7205"/>
    <w:rsid w:val="00E01466"/>
    <w:rsid w:val="00E02934"/>
    <w:rsid w:val="00E0409E"/>
    <w:rsid w:val="00E07D14"/>
    <w:rsid w:val="00E100CB"/>
    <w:rsid w:val="00E12583"/>
    <w:rsid w:val="00E13B70"/>
    <w:rsid w:val="00E14CA5"/>
    <w:rsid w:val="00E15521"/>
    <w:rsid w:val="00E1609F"/>
    <w:rsid w:val="00E1647A"/>
    <w:rsid w:val="00E166A5"/>
    <w:rsid w:val="00E17434"/>
    <w:rsid w:val="00E176FB"/>
    <w:rsid w:val="00E21148"/>
    <w:rsid w:val="00E226E9"/>
    <w:rsid w:val="00E23BF4"/>
    <w:rsid w:val="00E25ED1"/>
    <w:rsid w:val="00E268E8"/>
    <w:rsid w:val="00E30425"/>
    <w:rsid w:val="00E30764"/>
    <w:rsid w:val="00E3413E"/>
    <w:rsid w:val="00E42816"/>
    <w:rsid w:val="00E4410F"/>
    <w:rsid w:val="00E44189"/>
    <w:rsid w:val="00E444FA"/>
    <w:rsid w:val="00E476CE"/>
    <w:rsid w:val="00E47F5C"/>
    <w:rsid w:val="00E508BA"/>
    <w:rsid w:val="00E50CE2"/>
    <w:rsid w:val="00E514B1"/>
    <w:rsid w:val="00E52A6B"/>
    <w:rsid w:val="00E52F68"/>
    <w:rsid w:val="00E531D0"/>
    <w:rsid w:val="00E53244"/>
    <w:rsid w:val="00E54709"/>
    <w:rsid w:val="00E54A7E"/>
    <w:rsid w:val="00E56F46"/>
    <w:rsid w:val="00E57969"/>
    <w:rsid w:val="00E61C02"/>
    <w:rsid w:val="00E621F3"/>
    <w:rsid w:val="00E62C9F"/>
    <w:rsid w:val="00E64476"/>
    <w:rsid w:val="00E6476B"/>
    <w:rsid w:val="00E65E5D"/>
    <w:rsid w:val="00E7087F"/>
    <w:rsid w:val="00E72E96"/>
    <w:rsid w:val="00E76056"/>
    <w:rsid w:val="00E77A36"/>
    <w:rsid w:val="00E77F53"/>
    <w:rsid w:val="00E814B3"/>
    <w:rsid w:val="00E820F8"/>
    <w:rsid w:val="00E8281E"/>
    <w:rsid w:val="00E85BF1"/>
    <w:rsid w:val="00E85ED4"/>
    <w:rsid w:val="00E867AC"/>
    <w:rsid w:val="00E86C33"/>
    <w:rsid w:val="00E87589"/>
    <w:rsid w:val="00E87D7A"/>
    <w:rsid w:val="00E90DD6"/>
    <w:rsid w:val="00E91351"/>
    <w:rsid w:val="00E94357"/>
    <w:rsid w:val="00E945B7"/>
    <w:rsid w:val="00E9761D"/>
    <w:rsid w:val="00E979FD"/>
    <w:rsid w:val="00EA0FF1"/>
    <w:rsid w:val="00EA16DA"/>
    <w:rsid w:val="00EA20C1"/>
    <w:rsid w:val="00EA2251"/>
    <w:rsid w:val="00EA22BA"/>
    <w:rsid w:val="00EA3CAE"/>
    <w:rsid w:val="00EA46A4"/>
    <w:rsid w:val="00EA4C2D"/>
    <w:rsid w:val="00EA6505"/>
    <w:rsid w:val="00EA6FEB"/>
    <w:rsid w:val="00EB0628"/>
    <w:rsid w:val="00EB20E1"/>
    <w:rsid w:val="00EB2462"/>
    <w:rsid w:val="00EB4A32"/>
    <w:rsid w:val="00EB53F8"/>
    <w:rsid w:val="00EB56EB"/>
    <w:rsid w:val="00EC0C58"/>
    <w:rsid w:val="00EC0C8E"/>
    <w:rsid w:val="00EC120F"/>
    <w:rsid w:val="00EC1E46"/>
    <w:rsid w:val="00EC3124"/>
    <w:rsid w:val="00EC3A12"/>
    <w:rsid w:val="00ED2AD5"/>
    <w:rsid w:val="00ED34A2"/>
    <w:rsid w:val="00ED420A"/>
    <w:rsid w:val="00EE1784"/>
    <w:rsid w:val="00EE4F4B"/>
    <w:rsid w:val="00EF13AC"/>
    <w:rsid w:val="00EF2935"/>
    <w:rsid w:val="00EF2D4B"/>
    <w:rsid w:val="00EF3D14"/>
    <w:rsid w:val="00EF54B9"/>
    <w:rsid w:val="00EF5507"/>
    <w:rsid w:val="00EF5F3D"/>
    <w:rsid w:val="00EF7E36"/>
    <w:rsid w:val="00F00EDE"/>
    <w:rsid w:val="00F02D89"/>
    <w:rsid w:val="00F0348A"/>
    <w:rsid w:val="00F06716"/>
    <w:rsid w:val="00F076AC"/>
    <w:rsid w:val="00F07C4E"/>
    <w:rsid w:val="00F101BA"/>
    <w:rsid w:val="00F10D40"/>
    <w:rsid w:val="00F129B4"/>
    <w:rsid w:val="00F13693"/>
    <w:rsid w:val="00F202E0"/>
    <w:rsid w:val="00F21292"/>
    <w:rsid w:val="00F2294C"/>
    <w:rsid w:val="00F23D08"/>
    <w:rsid w:val="00F24088"/>
    <w:rsid w:val="00F263F5"/>
    <w:rsid w:val="00F27990"/>
    <w:rsid w:val="00F3099A"/>
    <w:rsid w:val="00F31D09"/>
    <w:rsid w:val="00F31F61"/>
    <w:rsid w:val="00F32B77"/>
    <w:rsid w:val="00F33A78"/>
    <w:rsid w:val="00F34313"/>
    <w:rsid w:val="00F37A10"/>
    <w:rsid w:val="00F37DE2"/>
    <w:rsid w:val="00F40EA8"/>
    <w:rsid w:val="00F418A3"/>
    <w:rsid w:val="00F42D29"/>
    <w:rsid w:val="00F45819"/>
    <w:rsid w:val="00F4744F"/>
    <w:rsid w:val="00F517F4"/>
    <w:rsid w:val="00F51E03"/>
    <w:rsid w:val="00F523AF"/>
    <w:rsid w:val="00F523D1"/>
    <w:rsid w:val="00F527A0"/>
    <w:rsid w:val="00F54D5C"/>
    <w:rsid w:val="00F54D94"/>
    <w:rsid w:val="00F57513"/>
    <w:rsid w:val="00F61D6B"/>
    <w:rsid w:val="00F63F9A"/>
    <w:rsid w:val="00F67F25"/>
    <w:rsid w:val="00F70870"/>
    <w:rsid w:val="00F71A2B"/>
    <w:rsid w:val="00F72B54"/>
    <w:rsid w:val="00F77486"/>
    <w:rsid w:val="00F82183"/>
    <w:rsid w:val="00F835C6"/>
    <w:rsid w:val="00F843E1"/>
    <w:rsid w:val="00F85E20"/>
    <w:rsid w:val="00F86A5B"/>
    <w:rsid w:val="00F86F7C"/>
    <w:rsid w:val="00F9174E"/>
    <w:rsid w:val="00F9236C"/>
    <w:rsid w:val="00F92DA3"/>
    <w:rsid w:val="00F9510C"/>
    <w:rsid w:val="00F96EC8"/>
    <w:rsid w:val="00FA1A06"/>
    <w:rsid w:val="00FA1CEE"/>
    <w:rsid w:val="00FA4600"/>
    <w:rsid w:val="00FA51CB"/>
    <w:rsid w:val="00FB06D4"/>
    <w:rsid w:val="00FB08BC"/>
    <w:rsid w:val="00FB1D89"/>
    <w:rsid w:val="00FC2327"/>
    <w:rsid w:val="00FC6716"/>
    <w:rsid w:val="00FC7079"/>
    <w:rsid w:val="00FD2812"/>
    <w:rsid w:val="00FD2828"/>
    <w:rsid w:val="00FD34B4"/>
    <w:rsid w:val="00FD4297"/>
    <w:rsid w:val="00FE0AB8"/>
    <w:rsid w:val="00FE2C58"/>
    <w:rsid w:val="00FE2CE2"/>
    <w:rsid w:val="00FE3869"/>
    <w:rsid w:val="00FE51C6"/>
    <w:rsid w:val="00FE5928"/>
    <w:rsid w:val="00FE6E8A"/>
    <w:rsid w:val="00FF196D"/>
    <w:rsid w:val="00FF3C34"/>
    <w:rsid w:val="00FF54C9"/>
    <w:rsid w:val="00FF5B26"/>
    <w:rsid w:val="00FF7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115847F"/>
  <w15:docId w15:val="{3A3AAD93-7B4D-497A-B2FF-C288BC5B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0B7F"/>
    <w:pPr>
      <w:widowControl w:val="0"/>
      <w:spacing w:line="300" w:lineRule="auto"/>
      <w:ind w:firstLineChars="200" w:firstLine="200"/>
    </w:pPr>
    <w:rPr>
      <w:kern w:val="2"/>
      <w:sz w:val="24"/>
      <w:szCs w:val="21"/>
    </w:rPr>
  </w:style>
  <w:style w:type="paragraph" w:styleId="1">
    <w:name w:val="heading 1"/>
    <w:basedOn w:val="a"/>
    <w:next w:val="a"/>
    <w:qFormat/>
    <w:rsid w:val="002A13BC"/>
    <w:pPr>
      <w:keepNext/>
      <w:numPr>
        <w:numId w:val="14"/>
      </w:numPr>
      <w:autoSpaceDE w:val="0"/>
      <w:autoSpaceDN w:val="0"/>
      <w:adjustRightInd w:val="0"/>
      <w:snapToGrid w:val="0"/>
      <w:spacing w:line="360" w:lineRule="auto"/>
      <w:ind w:firstLineChars="0"/>
      <w:jc w:val="center"/>
      <w:outlineLvl w:val="0"/>
    </w:pPr>
    <w:rPr>
      <w:rFonts w:cs="宋体"/>
      <w:b/>
      <w:bCs/>
      <w:kern w:val="0"/>
      <w:sz w:val="28"/>
      <w:szCs w:val="28"/>
    </w:rPr>
  </w:style>
  <w:style w:type="paragraph" w:styleId="2">
    <w:name w:val="heading 2"/>
    <w:basedOn w:val="a"/>
    <w:next w:val="a"/>
    <w:qFormat/>
    <w:rsid w:val="005C0B7F"/>
    <w:pPr>
      <w:keepNext/>
      <w:autoSpaceDE w:val="0"/>
      <w:autoSpaceDN w:val="0"/>
      <w:adjustRightInd w:val="0"/>
      <w:outlineLvl w:val="1"/>
    </w:pPr>
    <w:rPr>
      <w:b/>
      <w:kern w:val="0"/>
      <w:sz w:val="28"/>
      <w:szCs w:val="28"/>
    </w:rPr>
  </w:style>
  <w:style w:type="paragraph" w:styleId="3">
    <w:name w:val="heading 3"/>
    <w:aliases w:val="标题 3，三级以下标题 Char"/>
    <w:basedOn w:val="a"/>
    <w:next w:val="a"/>
    <w:qFormat/>
    <w:pPr>
      <w:keepNext/>
      <w:keepLines/>
      <w:widowControl/>
      <w:spacing w:before="260" w:after="260" w:line="416" w:lineRule="auto"/>
      <w:outlineLvl w:val="2"/>
    </w:pPr>
    <w:rPr>
      <w:b/>
      <w:bCs/>
      <w:kern w:val="0"/>
      <w:sz w:val="32"/>
      <w:szCs w:val="32"/>
    </w:rPr>
  </w:style>
  <w:style w:type="paragraph" w:styleId="4">
    <w:name w:val="heading 4"/>
    <w:basedOn w:val="a"/>
    <w:next w:val="a"/>
    <w:qFormat/>
    <w:pPr>
      <w:keepNext/>
      <w:keepLines/>
      <w:widowControl/>
      <w:spacing w:before="280" w:after="290" w:line="376" w:lineRule="auto"/>
      <w:outlineLvl w:val="3"/>
    </w:pPr>
    <w:rPr>
      <w:rFonts w:ascii="Arial" w:eastAsia="黑体" w:hAnsi="Arial" w:cs="Arial"/>
      <w:b/>
      <w:bCs/>
      <w:kern w:val="0"/>
      <w:sz w:val="28"/>
      <w:szCs w:val="28"/>
    </w:rPr>
  </w:style>
  <w:style w:type="paragraph" w:styleId="5">
    <w:name w:val="heading 5"/>
    <w:basedOn w:val="a"/>
    <w:next w:val="a"/>
    <w:qFormat/>
    <w:pPr>
      <w:keepNext/>
      <w:keepLines/>
      <w:spacing w:before="280" w:after="290" w:line="376" w:lineRule="auto"/>
      <w:outlineLvl w:val="4"/>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Char">
    <w:name w:val="Char Char"/>
    <w:basedOn w:val="a0"/>
    <w:rPr>
      <w:rFonts w:ascii="Arial" w:eastAsia="黑体" w:hAnsi="Arial" w:cs="Arial"/>
      <w:b/>
      <w:bCs/>
      <w:sz w:val="28"/>
      <w:szCs w:val="28"/>
      <w:lang w:val="en-US" w:eastAsia="zh-CN"/>
    </w:rPr>
  </w:style>
  <w:style w:type="paragraph" w:styleId="a3">
    <w:name w:val="Date"/>
    <w:basedOn w:val="a"/>
    <w:next w:val="a"/>
    <w:pPr>
      <w:ind w:leftChars="2500" w:left="100"/>
    </w:pPr>
  </w:style>
  <w:style w:type="paragraph" w:styleId="a4">
    <w:name w:val="Body Text"/>
    <w:basedOn w:val="a"/>
    <w:pPr>
      <w:widowControl/>
      <w:jc w:val="center"/>
    </w:pPr>
    <w:rPr>
      <w:kern w:val="0"/>
      <w:sz w:val="20"/>
      <w:szCs w:val="20"/>
    </w:rPr>
  </w:style>
  <w:style w:type="paragraph" w:styleId="a5">
    <w:name w:val="header"/>
    <w:basedOn w:val="a"/>
    <w:pPr>
      <w:widowControl/>
      <w:pBdr>
        <w:bottom w:val="single" w:sz="6" w:space="1" w:color="auto"/>
      </w:pBdr>
      <w:tabs>
        <w:tab w:val="center" w:pos="4153"/>
        <w:tab w:val="right" w:pos="8306"/>
      </w:tabs>
      <w:snapToGrid w:val="0"/>
      <w:jc w:val="center"/>
    </w:pPr>
    <w:rPr>
      <w:kern w:val="0"/>
      <w:sz w:val="18"/>
      <w:szCs w:val="18"/>
    </w:rPr>
  </w:style>
  <w:style w:type="paragraph" w:styleId="a6">
    <w:name w:val="footer"/>
    <w:basedOn w:val="a"/>
    <w:link w:val="a7"/>
    <w:uiPriority w:val="99"/>
    <w:qFormat/>
    <w:pPr>
      <w:widowControl/>
      <w:tabs>
        <w:tab w:val="center" w:pos="4153"/>
        <w:tab w:val="right" w:pos="8306"/>
      </w:tabs>
      <w:snapToGrid w:val="0"/>
    </w:pPr>
    <w:rPr>
      <w:kern w:val="0"/>
      <w:sz w:val="18"/>
      <w:szCs w:val="18"/>
    </w:rPr>
  </w:style>
  <w:style w:type="character" w:styleId="a8">
    <w:name w:val="page number"/>
    <w:basedOn w:val="a0"/>
  </w:style>
  <w:style w:type="paragraph" w:customStyle="1" w:styleId="a9">
    <w:name w:val="文档编号"/>
    <w:basedOn w:val="a"/>
    <w:next w:val="a"/>
    <w:pPr>
      <w:adjustRightInd w:val="0"/>
      <w:spacing w:line="360" w:lineRule="auto"/>
      <w:jc w:val="center"/>
      <w:textAlignment w:val="baseline"/>
    </w:pPr>
    <w:rPr>
      <w:rFonts w:ascii="宋体" w:cs="宋体"/>
      <w:kern w:val="0"/>
      <w:sz w:val="20"/>
      <w:szCs w:val="20"/>
    </w:rPr>
  </w:style>
  <w:style w:type="paragraph" w:styleId="20">
    <w:name w:val="Body Text 2"/>
    <w:basedOn w:val="a"/>
    <w:pPr>
      <w:widowControl/>
      <w:ind w:firstLine="420"/>
    </w:pPr>
    <w:rPr>
      <w:kern w:val="0"/>
    </w:rPr>
  </w:style>
  <w:style w:type="paragraph" w:customStyle="1" w:styleId="textnomal">
    <w:name w:val="textnomal"/>
    <w:basedOn w:val="a"/>
    <w:pPr>
      <w:widowControl/>
      <w:spacing w:before="100" w:beforeAutospacing="1" w:after="100" w:afterAutospacing="1" w:line="360" w:lineRule="auto"/>
    </w:pPr>
    <w:rPr>
      <w:kern w:val="0"/>
      <w:sz w:val="23"/>
      <w:szCs w:val="23"/>
    </w:rPr>
  </w:style>
  <w:style w:type="character" w:customStyle="1" w:styleId="nava1">
    <w:name w:val="nava1"/>
    <w:basedOn w:val="a0"/>
    <w:rPr>
      <w:sz w:val="18"/>
      <w:szCs w:val="18"/>
    </w:rPr>
  </w:style>
  <w:style w:type="character" w:styleId="aa">
    <w:name w:val="Hyperlink"/>
    <w:basedOn w:val="a0"/>
    <w:rPr>
      <w:color w:val="FF0000"/>
      <w:sz w:val="18"/>
      <w:szCs w:val="18"/>
      <w:u w:val="none"/>
      <w:effect w:val="none"/>
    </w:rPr>
  </w:style>
  <w:style w:type="character" w:styleId="ab">
    <w:name w:val="FollowedHyperlink"/>
    <w:basedOn w:val="a0"/>
    <w:rPr>
      <w:color w:val="800080"/>
      <w:u w:val="single"/>
    </w:rPr>
  </w:style>
  <w:style w:type="character" w:customStyle="1" w:styleId="textnomal1">
    <w:name w:val="textnomal1"/>
    <w:basedOn w:val="a0"/>
    <w:rPr>
      <w:sz w:val="19"/>
      <w:szCs w:val="19"/>
    </w:rPr>
  </w:style>
  <w:style w:type="character" w:customStyle="1" w:styleId="cpx12hei21">
    <w:name w:val="cpx12hei21"/>
    <w:basedOn w:val="a0"/>
    <w:rPr>
      <w:color w:val="auto"/>
      <w:sz w:val="17"/>
      <w:szCs w:val="17"/>
      <w:u w:val="none"/>
      <w:effect w:val="none"/>
    </w:rPr>
  </w:style>
  <w:style w:type="paragraph" w:styleId="ac">
    <w:name w:val="Normal (Web)"/>
    <w:basedOn w:val="Default"/>
    <w:next w:val="Default"/>
    <w:uiPriority w:val="99"/>
    <w:pPr>
      <w:spacing w:before="100" w:after="100"/>
    </w:pPr>
    <w:rPr>
      <w:color w:val="auto"/>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styleId="ad">
    <w:name w:val="table of figures"/>
    <w:basedOn w:val="a"/>
    <w:next w:val="a"/>
    <w:semiHidden/>
    <w:pPr>
      <w:ind w:leftChars="200" w:left="840" w:hangingChars="200" w:hanging="420"/>
    </w:pPr>
  </w:style>
  <w:style w:type="paragraph" w:customStyle="1" w:styleId="MTDisplayEquation">
    <w:name w:val="MTDisplayEquation"/>
    <w:basedOn w:val="a"/>
    <w:next w:val="a"/>
    <w:pPr>
      <w:widowControl/>
      <w:tabs>
        <w:tab w:val="center" w:pos="4520"/>
        <w:tab w:val="right" w:pos="8320"/>
      </w:tabs>
      <w:ind w:left="720" w:firstLine="720"/>
    </w:pPr>
    <w:rPr>
      <w:kern w:val="0"/>
      <w:sz w:val="28"/>
      <w:szCs w:val="28"/>
    </w:rPr>
  </w:style>
  <w:style w:type="paragraph" w:customStyle="1" w:styleId="common">
    <w:name w:val="common"/>
    <w:basedOn w:val="a"/>
    <w:pPr>
      <w:widowControl/>
      <w:spacing w:before="100" w:beforeAutospacing="1" w:after="100" w:afterAutospacing="1"/>
    </w:pPr>
    <w:rPr>
      <w:rFonts w:ascii="宋体" w:hAnsi="宋体" w:cs="宋体"/>
      <w:kern w:val="0"/>
      <w:szCs w:val="24"/>
    </w:rPr>
  </w:style>
  <w:style w:type="paragraph" w:styleId="ae">
    <w:name w:val="Document Map"/>
    <w:basedOn w:val="a"/>
    <w:semiHidden/>
    <w:pPr>
      <w:widowControl/>
      <w:shd w:val="clear" w:color="auto" w:fill="000080"/>
    </w:pPr>
    <w:rPr>
      <w:kern w:val="0"/>
      <w:sz w:val="20"/>
      <w:szCs w:val="20"/>
    </w:rPr>
  </w:style>
  <w:style w:type="paragraph" w:customStyle="1" w:styleId="af">
    <w:name w:val="三级标题"/>
    <w:basedOn w:val="a"/>
    <w:autoRedefine/>
    <w:rsid w:val="007F5F60"/>
    <w:pPr>
      <w:keepNext/>
      <w:spacing w:before="240" w:after="120"/>
      <w:outlineLvl w:val="2"/>
    </w:pPr>
    <w:rPr>
      <w:rFonts w:eastAsia="黑体"/>
      <w:b/>
      <w:bCs/>
      <w:noProof/>
      <w:kern w:val="24"/>
      <w:szCs w:val="24"/>
    </w:rPr>
  </w:style>
  <w:style w:type="paragraph" w:customStyle="1" w:styleId="af0">
    <w:name w:val="一级标题"/>
    <w:basedOn w:val="a"/>
    <w:autoRedefine/>
    <w:rsid w:val="005C0B7F"/>
    <w:pPr>
      <w:keepNext/>
      <w:keepLines/>
      <w:tabs>
        <w:tab w:val="left" w:pos="8280"/>
      </w:tabs>
      <w:ind w:firstLine="643"/>
      <w:jc w:val="center"/>
      <w:outlineLvl w:val="0"/>
    </w:pPr>
    <w:rPr>
      <w:rFonts w:ascii="Arial" w:eastAsia="黑体" w:hAnsi="Arial" w:cs="Arial"/>
      <w:b/>
      <w:noProof/>
      <w:kern w:val="32"/>
      <w:sz w:val="32"/>
      <w:szCs w:val="32"/>
    </w:rPr>
  </w:style>
  <w:style w:type="paragraph" w:customStyle="1" w:styleId="af1">
    <w:name w:val="二级标题"/>
    <w:basedOn w:val="2"/>
    <w:autoRedefine/>
    <w:rsid w:val="005901AC"/>
    <w:pPr>
      <w:widowControl/>
      <w:autoSpaceDE/>
      <w:autoSpaceDN/>
      <w:adjustRightInd/>
      <w:spacing w:line="360" w:lineRule="auto"/>
      <w:ind w:firstLine="0"/>
      <w:jc w:val="both"/>
    </w:pPr>
    <w:rPr>
      <w:b w:val="0"/>
      <w:bCs/>
      <w:noProof/>
      <w:kern w:val="28"/>
      <w:lang w:val="fr-FR"/>
    </w:rPr>
  </w:style>
  <w:style w:type="paragraph" w:customStyle="1" w:styleId="new">
    <w:name w:val="正文new"/>
    <w:basedOn w:val="a"/>
    <w:pPr>
      <w:widowControl/>
      <w:ind w:firstLineChars="202" w:firstLine="566"/>
    </w:pPr>
    <w:rPr>
      <w:rFonts w:ascii="宋体" w:hAnsi="宋体" w:cs="宋体"/>
      <w:kern w:val="24"/>
      <w:sz w:val="28"/>
      <w:szCs w:val="28"/>
    </w:rPr>
  </w:style>
  <w:style w:type="character" w:customStyle="1" w:styleId="newChar">
    <w:name w:val="正文new Char"/>
    <w:basedOn w:val="a0"/>
    <w:rPr>
      <w:rFonts w:ascii="宋体" w:eastAsia="宋体" w:hAnsi="宋体" w:cs="宋体"/>
      <w:kern w:val="24"/>
      <w:sz w:val="28"/>
      <w:szCs w:val="28"/>
      <w:lang w:val="en-US" w:eastAsia="zh-CN"/>
    </w:rPr>
  </w:style>
  <w:style w:type="paragraph" w:customStyle="1" w:styleId="newTimesNewRoman">
    <w:name w:val="样式 正文new + Times New Roman"/>
    <w:basedOn w:val="a"/>
    <w:pPr>
      <w:widowControl/>
    </w:pPr>
    <w:rPr>
      <w:kern w:val="0"/>
      <w:sz w:val="20"/>
      <w:szCs w:val="20"/>
    </w:rPr>
  </w:style>
  <w:style w:type="character" w:customStyle="1" w:styleId="newTimesNewRomanChar">
    <w:name w:val="样式 正文new + Times New Roman Char"/>
    <w:basedOn w:val="a0"/>
    <w:rPr>
      <w:rFonts w:eastAsia="宋体"/>
      <w:lang w:val="en-US" w:eastAsia="zh-CN"/>
    </w:rPr>
  </w:style>
  <w:style w:type="paragraph" w:customStyle="1" w:styleId="newnewnew">
    <w:name w:val="正文newnewnew"/>
    <w:basedOn w:val="new"/>
    <w:pPr>
      <w:ind w:firstLine="485"/>
    </w:pPr>
    <w:rPr>
      <w:rFonts w:ascii="Times New Roman" w:hAnsi="Times New Roman" w:cs="Times New Roman"/>
      <w:sz w:val="24"/>
      <w:szCs w:val="24"/>
    </w:rPr>
  </w:style>
  <w:style w:type="character" w:customStyle="1" w:styleId="newnewnewChar">
    <w:name w:val="正文newnewnew Char"/>
    <w:basedOn w:val="newChar"/>
    <w:rPr>
      <w:rFonts w:ascii="宋体" w:eastAsia="宋体" w:hAnsi="宋体" w:cs="宋体"/>
      <w:kern w:val="24"/>
      <w:sz w:val="24"/>
      <w:szCs w:val="24"/>
      <w:lang w:val="en-US" w:eastAsia="zh-CN"/>
    </w:rPr>
  </w:style>
  <w:style w:type="paragraph" w:customStyle="1" w:styleId="af2">
    <w:name w:val="四级标题"/>
    <w:basedOn w:val="4"/>
    <w:autoRedefine/>
    <w:pPr>
      <w:spacing w:before="0" w:after="0" w:line="300" w:lineRule="auto"/>
      <w:jc w:val="both"/>
    </w:pPr>
    <w:rPr>
      <w:rFonts w:ascii="黑体" w:hAnsi="Times New Roman" w:cs="黑体"/>
      <w:b w:val="0"/>
      <w:bCs w:val="0"/>
      <w:kern w:val="24"/>
      <w:sz w:val="24"/>
      <w:szCs w:val="24"/>
    </w:rPr>
  </w:style>
  <w:style w:type="character" w:customStyle="1" w:styleId="Char">
    <w:name w:val="四级标题 Char"/>
    <w:basedOn w:val="CharChar"/>
    <w:rPr>
      <w:rFonts w:ascii="黑体" w:eastAsia="黑体" w:hAnsi="Arial" w:cs="黑体"/>
      <w:b/>
      <w:bCs/>
      <w:kern w:val="24"/>
      <w:sz w:val="24"/>
      <w:szCs w:val="24"/>
      <w:lang w:val="en-US" w:eastAsia="zh-CN"/>
    </w:rPr>
  </w:style>
  <w:style w:type="paragraph" w:customStyle="1" w:styleId="af3">
    <w:name w:val="正文内容"/>
    <w:basedOn w:val="a"/>
    <w:rPr>
      <w:rFonts w:ascii="宋体" w:hAnsi="宋体" w:cs="宋体"/>
      <w:szCs w:val="24"/>
    </w:rPr>
  </w:style>
  <w:style w:type="character" w:customStyle="1" w:styleId="datatitle1">
    <w:name w:val="datatitle1"/>
    <w:basedOn w:val="a0"/>
    <w:rPr>
      <w:b/>
      <w:bCs/>
      <w:color w:val="auto"/>
      <w:sz w:val="21"/>
      <w:szCs w:val="21"/>
    </w:rPr>
  </w:style>
  <w:style w:type="character" w:customStyle="1" w:styleId="txt">
    <w:name w:val="txt"/>
    <w:basedOn w:val="a0"/>
  </w:style>
  <w:style w:type="paragraph" w:styleId="TOC1">
    <w:name w:val="toc 1"/>
    <w:basedOn w:val="a"/>
    <w:next w:val="a"/>
    <w:autoRedefine/>
    <w:semiHidden/>
    <w:rsid w:val="00387ECC"/>
    <w:pPr>
      <w:tabs>
        <w:tab w:val="right" w:leader="dot" w:pos="9345"/>
      </w:tabs>
      <w:spacing w:before="120"/>
    </w:pPr>
    <w:rPr>
      <w:bCs/>
      <w:caps/>
      <w:noProof/>
      <w:sz w:val="28"/>
      <w:szCs w:val="28"/>
    </w:rPr>
  </w:style>
  <w:style w:type="paragraph" w:styleId="TOC2">
    <w:name w:val="toc 2"/>
    <w:basedOn w:val="a"/>
    <w:next w:val="a"/>
    <w:autoRedefine/>
    <w:semiHidden/>
    <w:rsid w:val="009D2C85"/>
    <w:pPr>
      <w:tabs>
        <w:tab w:val="right" w:leader="dot" w:pos="9345"/>
      </w:tabs>
      <w:spacing w:before="120"/>
      <w:ind w:left="210"/>
    </w:pPr>
    <w:rPr>
      <w:rFonts w:ascii="宋体" w:hAnsi="宋体"/>
      <w:smallCaps/>
      <w:noProof/>
      <w:szCs w:val="24"/>
    </w:rPr>
  </w:style>
  <w:style w:type="paragraph" w:styleId="TOC3">
    <w:name w:val="toc 3"/>
    <w:basedOn w:val="a"/>
    <w:next w:val="a"/>
    <w:autoRedefine/>
    <w:semiHidden/>
    <w:rsid w:val="00C35F17"/>
    <w:pPr>
      <w:tabs>
        <w:tab w:val="right" w:leader="dot" w:pos="9345"/>
      </w:tabs>
      <w:spacing w:before="120"/>
      <w:ind w:left="420"/>
    </w:pPr>
    <w:rPr>
      <w:rFonts w:ascii="黑体"/>
      <w:iCs/>
      <w:noProof/>
    </w:rPr>
  </w:style>
  <w:style w:type="paragraph" w:styleId="30">
    <w:name w:val="Body Text Indent 3"/>
    <w:basedOn w:val="a"/>
    <w:pPr>
      <w:ind w:firstLine="435"/>
    </w:pPr>
    <w:rPr>
      <w:rFonts w:ascii="宋体" w:hAnsi="宋体" w:cs="宋体"/>
    </w:rPr>
  </w:style>
  <w:style w:type="character" w:customStyle="1" w:styleId="postbody">
    <w:name w:val="postbody"/>
    <w:basedOn w:val="a0"/>
  </w:style>
  <w:style w:type="paragraph" w:customStyle="1" w:styleId="context">
    <w:name w:val="context"/>
    <w:basedOn w:val="af3"/>
    <w:pPr>
      <w:ind w:firstLineChars="257" w:firstLine="617"/>
    </w:pPr>
  </w:style>
  <w:style w:type="paragraph" w:styleId="TOC4">
    <w:name w:val="toc 4"/>
    <w:basedOn w:val="a"/>
    <w:next w:val="a"/>
    <w:autoRedefine/>
    <w:semiHidden/>
    <w:pPr>
      <w:ind w:left="630"/>
    </w:pPr>
    <w:rPr>
      <w:sz w:val="18"/>
      <w:szCs w:val="18"/>
    </w:rPr>
  </w:style>
  <w:style w:type="paragraph" w:styleId="TOC5">
    <w:name w:val="toc 5"/>
    <w:basedOn w:val="a"/>
    <w:next w:val="a"/>
    <w:autoRedefine/>
    <w:semiHidden/>
    <w:pPr>
      <w:ind w:left="840"/>
    </w:pPr>
    <w:rPr>
      <w:sz w:val="18"/>
      <w:szCs w:val="18"/>
    </w:rPr>
  </w:style>
  <w:style w:type="paragraph" w:styleId="TOC6">
    <w:name w:val="toc 6"/>
    <w:basedOn w:val="a"/>
    <w:next w:val="a"/>
    <w:autoRedefine/>
    <w:semiHidden/>
    <w:pPr>
      <w:ind w:left="1050"/>
    </w:pPr>
    <w:rPr>
      <w:sz w:val="18"/>
      <w:szCs w:val="18"/>
    </w:rPr>
  </w:style>
  <w:style w:type="paragraph" w:styleId="TOC7">
    <w:name w:val="toc 7"/>
    <w:basedOn w:val="a"/>
    <w:next w:val="a"/>
    <w:autoRedefine/>
    <w:semiHidden/>
    <w:pPr>
      <w:ind w:left="1260"/>
    </w:pPr>
    <w:rPr>
      <w:sz w:val="18"/>
      <w:szCs w:val="18"/>
    </w:rPr>
  </w:style>
  <w:style w:type="paragraph" w:styleId="TOC8">
    <w:name w:val="toc 8"/>
    <w:basedOn w:val="a"/>
    <w:next w:val="a"/>
    <w:autoRedefine/>
    <w:semiHidden/>
    <w:pPr>
      <w:ind w:left="1470"/>
    </w:pPr>
    <w:rPr>
      <w:sz w:val="18"/>
      <w:szCs w:val="18"/>
    </w:rPr>
  </w:style>
  <w:style w:type="paragraph" w:styleId="TOC9">
    <w:name w:val="toc 9"/>
    <w:basedOn w:val="a"/>
    <w:next w:val="a"/>
    <w:autoRedefine/>
    <w:semiHidden/>
    <w:pPr>
      <w:ind w:left="1680"/>
    </w:pPr>
    <w:rPr>
      <w:sz w:val="18"/>
      <w:szCs w:val="18"/>
    </w:rPr>
  </w:style>
  <w:style w:type="paragraph" w:styleId="af4">
    <w:name w:val="Body Text Indent"/>
    <w:basedOn w:val="a"/>
    <w:rsid w:val="00B03808"/>
    <w:pPr>
      <w:spacing w:after="120"/>
      <w:ind w:leftChars="200" w:left="420"/>
    </w:pPr>
  </w:style>
  <w:style w:type="table" w:styleId="af5">
    <w:name w:val="Table Grid"/>
    <w:basedOn w:val="a1"/>
    <w:rsid w:val="005B721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1">
    <w:name w:val="Table Classic 2"/>
    <w:basedOn w:val="a1"/>
    <w:rsid w:val="005B721F"/>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af6">
    <w:name w:val="endnote text"/>
    <w:basedOn w:val="a"/>
    <w:link w:val="af7"/>
    <w:semiHidden/>
    <w:rsid w:val="00294872"/>
    <w:pPr>
      <w:snapToGrid w:val="0"/>
    </w:pPr>
    <w:rPr>
      <w:szCs w:val="20"/>
    </w:rPr>
  </w:style>
  <w:style w:type="character" w:customStyle="1" w:styleId="af7">
    <w:name w:val="尾注文本 字符"/>
    <w:basedOn w:val="a0"/>
    <w:link w:val="af6"/>
    <w:rsid w:val="00294872"/>
    <w:rPr>
      <w:rFonts w:eastAsia="宋体"/>
      <w:kern w:val="2"/>
      <w:sz w:val="21"/>
      <w:lang w:val="en-US" w:eastAsia="zh-CN" w:bidi="ar-SA"/>
    </w:rPr>
  </w:style>
  <w:style w:type="character" w:customStyle="1" w:styleId="medblacktext1">
    <w:name w:val="medblacktext1"/>
    <w:basedOn w:val="a0"/>
    <w:rsid w:val="006D7EE8"/>
    <w:rPr>
      <w:rFonts w:ascii="Arial" w:hAnsi="Arial" w:cs="Arial" w:hint="default"/>
      <w:color w:val="000000"/>
      <w:sz w:val="18"/>
      <w:szCs w:val="18"/>
    </w:rPr>
  </w:style>
  <w:style w:type="character" w:styleId="af8">
    <w:name w:val="annotation reference"/>
    <w:basedOn w:val="a0"/>
    <w:semiHidden/>
    <w:rsid w:val="00420249"/>
    <w:rPr>
      <w:sz w:val="21"/>
      <w:szCs w:val="21"/>
    </w:rPr>
  </w:style>
  <w:style w:type="paragraph" w:styleId="af9">
    <w:name w:val="annotation text"/>
    <w:basedOn w:val="a"/>
    <w:semiHidden/>
    <w:rsid w:val="00E17434"/>
    <w:rPr>
      <w:szCs w:val="24"/>
    </w:rPr>
  </w:style>
  <w:style w:type="paragraph" w:customStyle="1" w:styleId="10">
    <w:name w:val="1"/>
    <w:basedOn w:val="a"/>
    <w:next w:val="ac"/>
    <w:rsid w:val="00883480"/>
    <w:pPr>
      <w:widowControl/>
      <w:spacing w:before="100" w:beforeAutospacing="1" w:after="100" w:afterAutospacing="1"/>
    </w:pPr>
    <w:rPr>
      <w:rFonts w:ascii="宋体" w:hAnsi="宋体" w:cs="宋体"/>
      <w:kern w:val="0"/>
      <w:szCs w:val="24"/>
    </w:rPr>
  </w:style>
  <w:style w:type="paragraph" w:styleId="afa">
    <w:name w:val="Balloon Text"/>
    <w:basedOn w:val="a"/>
    <w:link w:val="afb"/>
    <w:rsid w:val="008B5D4B"/>
    <w:rPr>
      <w:sz w:val="18"/>
      <w:szCs w:val="18"/>
    </w:rPr>
  </w:style>
  <w:style w:type="character" w:customStyle="1" w:styleId="afb">
    <w:name w:val="批注框文本 字符"/>
    <w:basedOn w:val="a0"/>
    <w:link w:val="afa"/>
    <w:rsid w:val="008B5D4B"/>
    <w:rPr>
      <w:kern w:val="2"/>
      <w:sz w:val="18"/>
      <w:szCs w:val="18"/>
    </w:rPr>
  </w:style>
  <w:style w:type="paragraph" w:styleId="afc">
    <w:name w:val="List Paragraph"/>
    <w:basedOn w:val="a"/>
    <w:uiPriority w:val="34"/>
    <w:qFormat/>
    <w:rsid w:val="005E7F24"/>
    <w:pPr>
      <w:ind w:firstLine="420"/>
    </w:pPr>
    <w:rPr>
      <w:rFonts w:ascii="Calibri" w:hAnsi="Calibri"/>
      <w:szCs w:val="22"/>
    </w:rPr>
  </w:style>
  <w:style w:type="paragraph" w:styleId="afd">
    <w:name w:val="Title"/>
    <w:basedOn w:val="a"/>
    <w:next w:val="a"/>
    <w:link w:val="afe"/>
    <w:qFormat/>
    <w:rsid w:val="005C0B7F"/>
    <w:pPr>
      <w:spacing w:before="240" w:after="60"/>
      <w:jc w:val="center"/>
      <w:outlineLvl w:val="0"/>
    </w:pPr>
    <w:rPr>
      <w:rFonts w:asciiTheme="majorHAnsi" w:eastAsiaTheme="majorEastAsia" w:hAnsiTheme="majorHAnsi" w:cstheme="majorBidi"/>
      <w:b/>
      <w:bCs/>
      <w:sz w:val="32"/>
      <w:szCs w:val="32"/>
    </w:rPr>
  </w:style>
  <w:style w:type="character" w:customStyle="1" w:styleId="afe">
    <w:name w:val="标题 字符"/>
    <w:basedOn w:val="a0"/>
    <w:link w:val="afd"/>
    <w:rsid w:val="005C0B7F"/>
    <w:rPr>
      <w:rFonts w:asciiTheme="majorHAnsi" w:eastAsiaTheme="majorEastAsia" w:hAnsiTheme="majorHAnsi" w:cstheme="majorBidi"/>
      <w:b/>
      <w:bCs/>
      <w:kern w:val="2"/>
      <w:sz w:val="32"/>
      <w:szCs w:val="32"/>
    </w:rPr>
  </w:style>
  <w:style w:type="paragraph" w:customStyle="1" w:styleId="aff">
    <w:name w:val="标准文件_表格"/>
    <w:basedOn w:val="a"/>
    <w:qFormat/>
    <w:rsid w:val="005C0B7F"/>
    <w:pPr>
      <w:widowControl/>
      <w:autoSpaceDE w:val="0"/>
      <w:autoSpaceDN w:val="0"/>
      <w:spacing w:line="240" w:lineRule="auto"/>
      <w:ind w:firstLineChars="0" w:firstLine="0"/>
      <w:jc w:val="center"/>
    </w:pPr>
    <w:rPr>
      <w:kern w:val="0"/>
      <w:sz w:val="18"/>
      <w:szCs w:val="20"/>
    </w:rPr>
  </w:style>
  <w:style w:type="paragraph" w:customStyle="1" w:styleId="aff0">
    <w:name w:val="标准文件_一级条标题"/>
    <w:basedOn w:val="a"/>
    <w:next w:val="a"/>
    <w:qFormat/>
    <w:rsid w:val="005C0B7F"/>
    <w:pPr>
      <w:widowControl/>
      <w:numPr>
        <w:ilvl w:val="2"/>
        <w:numId w:val="4"/>
      </w:numPr>
      <w:spacing w:beforeLines="50" w:before="50" w:afterLines="50" w:after="50" w:line="240" w:lineRule="auto"/>
      <w:ind w:firstLineChars="0" w:firstLine="0"/>
      <w:jc w:val="both"/>
      <w:outlineLvl w:val="1"/>
    </w:pPr>
    <w:rPr>
      <w:rFonts w:ascii="黑体" w:eastAsia="黑体"/>
      <w:kern w:val="0"/>
      <w:sz w:val="21"/>
      <w:szCs w:val="20"/>
    </w:rPr>
  </w:style>
  <w:style w:type="paragraph" w:customStyle="1" w:styleId="aff1">
    <w:name w:val="标准文件_正文表标题"/>
    <w:next w:val="a"/>
    <w:qFormat/>
    <w:rsid w:val="005C0B7F"/>
    <w:pPr>
      <w:numPr>
        <w:numId w:val="1"/>
      </w:numPr>
      <w:tabs>
        <w:tab w:val="left" w:pos="0"/>
      </w:tabs>
      <w:spacing w:beforeLines="50" w:before="50" w:afterLines="50" w:after="50"/>
      <w:jc w:val="center"/>
    </w:pPr>
    <w:rPr>
      <w:rFonts w:ascii="黑体" w:eastAsia="黑体"/>
      <w:sz w:val="21"/>
    </w:rPr>
  </w:style>
  <w:style w:type="paragraph" w:customStyle="1" w:styleId="aff2">
    <w:name w:val="标准文件_段"/>
    <w:qFormat/>
    <w:rsid w:val="001E4742"/>
    <w:pPr>
      <w:autoSpaceDE w:val="0"/>
      <w:autoSpaceDN w:val="0"/>
      <w:ind w:firstLineChars="200" w:firstLine="200"/>
      <w:jc w:val="both"/>
    </w:pPr>
    <w:rPr>
      <w:sz w:val="21"/>
    </w:rPr>
  </w:style>
  <w:style w:type="paragraph" w:customStyle="1" w:styleId="aff3">
    <w:name w:val="标准文件_二级条标题"/>
    <w:next w:val="a"/>
    <w:qFormat/>
    <w:rsid w:val="002A13BC"/>
    <w:pPr>
      <w:widowControl w:val="0"/>
      <w:spacing w:beforeLines="50" w:before="50" w:afterLines="50" w:after="50"/>
      <w:jc w:val="both"/>
      <w:outlineLvl w:val="2"/>
    </w:pPr>
    <w:rPr>
      <w:rFonts w:ascii="黑体" w:eastAsia="黑体"/>
      <w:sz w:val="21"/>
    </w:rPr>
  </w:style>
  <w:style w:type="paragraph" w:customStyle="1" w:styleId="aff4">
    <w:name w:val="标准文件_三级条标题"/>
    <w:basedOn w:val="aff3"/>
    <w:next w:val="a"/>
    <w:qFormat/>
    <w:rsid w:val="002A13BC"/>
    <w:pPr>
      <w:widowControl/>
      <w:outlineLvl w:val="3"/>
    </w:pPr>
  </w:style>
  <w:style w:type="paragraph" w:customStyle="1" w:styleId="aff5">
    <w:name w:val="标准文件_四级条标题"/>
    <w:next w:val="a"/>
    <w:qFormat/>
    <w:rsid w:val="002A13BC"/>
    <w:pPr>
      <w:widowControl w:val="0"/>
      <w:spacing w:beforeLines="50" w:before="50" w:afterLines="50" w:after="50"/>
      <w:jc w:val="both"/>
      <w:outlineLvl w:val="4"/>
    </w:pPr>
    <w:rPr>
      <w:rFonts w:ascii="黑体" w:eastAsia="黑体"/>
      <w:sz w:val="21"/>
    </w:rPr>
  </w:style>
  <w:style w:type="paragraph" w:customStyle="1" w:styleId="aff6">
    <w:name w:val="标准文件_五级条标题"/>
    <w:next w:val="a"/>
    <w:qFormat/>
    <w:rsid w:val="002A13BC"/>
    <w:pPr>
      <w:widowControl w:val="0"/>
      <w:spacing w:beforeLines="50" w:before="50" w:afterLines="50" w:after="50"/>
      <w:jc w:val="both"/>
      <w:outlineLvl w:val="5"/>
    </w:pPr>
    <w:rPr>
      <w:rFonts w:ascii="黑体" w:eastAsia="黑体"/>
      <w:sz w:val="21"/>
    </w:rPr>
  </w:style>
  <w:style w:type="paragraph" w:customStyle="1" w:styleId="aff7">
    <w:name w:val="标准文件_章标题"/>
    <w:next w:val="a"/>
    <w:qFormat/>
    <w:rsid w:val="002A13BC"/>
    <w:pPr>
      <w:spacing w:beforeLines="100" w:before="100" w:afterLines="100" w:after="100"/>
      <w:jc w:val="both"/>
      <w:outlineLvl w:val="0"/>
    </w:pPr>
    <w:rPr>
      <w:rFonts w:ascii="黑体" w:eastAsia="黑体"/>
      <w:sz w:val="21"/>
    </w:rPr>
  </w:style>
  <w:style w:type="paragraph" w:customStyle="1" w:styleId="aff8">
    <w:name w:val="前言标题"/>
    <w:next w:val="a"/>
    <w:qFormat/>
    <w:rsid w:val="002A13BC"/>
    <w:pPr>
      <w:shd w:val="clear" w:color="FFFFFF" w:fill="FFFFFF"/>
      <w:spacing w:before="540" w:after="600"/>
      <w:jc w:val="center"/>
      <w:outlineLvl w:val="0"/>
    </w:pPr>
    <w:rPr>
      <w:rFonts w:ascii="黑体" w:eastAsia="黑体"/>
      <w:sz w:val="32"/>
    </w:rPr>
  </w:style>
  <w:style w:type="paragraph" w:customStyle="1" w:styleId="aff9">
    <w:name w:val="标准文件_一级无标题"/>
    <w:basedOn w:val="aff0"/>
    <w:qFormat/>
    <w:rsid w:val="002A13BC"/>
    <w:pPr>
      <w:tabs>
        <w:tab w:val="clear" w:pos="1260"/>
      </w:tabs>
      <w:spacing w:beforeLines="0" w:before="0" w:afterLines="0" w:after="0"/>
      <w:ind w:left="0"/>
      <w:outlineLvl w:val="9"/>
    </w:pPr>
    <w:rPr>
      <w:rFonts w:ascii="宋体" w:eastAsia="宋体"/>
    </w:rPr>
  </w:style>
  <w:style w:type="character" w:customStyle="1" w:styleId="a7">
    <w:name w:val="页脚 字符"/>
    <w:basedOn w:val="a0"/>
    <w:link w:val="a6"/>
    <w:uiPriority w:val="99"/>
    <w:rsid w:val="002A13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5</Pages>
  <Words>682</Words>
  <Characters>3892</Characters>
  <Application>Microsoft Office Word</Application>
  <DocSecurity>0</DocSecurity>
  <Lines>32</Lines>
  <Paragraphs>9</Paragraphs>
  <ScaleCrop>false</ScaleCrop>
  <Company>yjsb</Company>
  <LinksUpToDate>false</LinksUpToDate>
  <CharactersWithSpaces>4565</CharactersWithSpaces>
  <SharedDoc>false</SharedDoc>
  <HLinks>
    <vt:vector size="132" baseType="variant">
      <vt:variant>
        <vt:i4>1048625</vt:i4>
      </vt:variant>
      <vt:variant>
        <vt:i4>131</vt:i4>
      </vt:variant>
      <vt:variant>
        <vt:i4>0</vt:i4>
      </vt:variant>
      <vt:variant>
        <vt:i4>5</vt:i4>
      </vt:variant>
      <vt:variant>
        <vt:lpwstr/>
      </vt:variant>
      <vt:variant>
        <vt:lpwstr>_Toc213724254</vt:lpwstr>
      </vt:variant>
      <vt:variant>
        <vt:i4>1048625</vt:i4>
      </vt:variant>
      <vt:variant>
        <vt:i4>125</vt:i4>
      </vt:variant>
      <vt:variant>
        <vt:i4>0</vt:i4>
      </vt:variant>
      <vt:variant>
        <vt:i4>5</vt:i4>
      </vt:variant>
      <vt:variant>
        <vt:lpwstr/>
      </vt:variant>
      <vt:variant>
        <vt:lpwstr>_Toc213724253</vt:lpwstr>
      </vt:variant>
      <vt:variant>
        <vt:i4>1048625</vt:i4>
      </vt:variant>
      <vt:variant>
        <vt:i4>119</vt:i4>
      </vt:variant>
      <vt:variant>
        <vt:i4>0</vt:i4>
      </vt:variant>
      <vt:variant>
        <vt:i4>5</vt:i4>
      </vt:variant>
      <vt:variant>
        <vt:lpwstr/>
      </vt:variant>
      <vt:variant>
        <vt:lpwstr>_Toc213724252</vt:lpwstr>
      </vt:variant>
      <vt:variant>
        <vt:i4>1048625</vt:i4>
      </vt:variant>
      <vt:variant>
        <vt:i4>113</vt:i4>
      </vt:variant>
      <vt:variant>
        <vt:i4>0</vt:i4>
      </vt:variant>
      <vt:variant>
        <vt:i4>5</vt:i4>
      </vt:variant>
      <vt:variant>
        <vt:lpwstr/>
      </vt:variant>
      <vt:variant>
        <vt:lpwstr>_Toc213724251</vt:lpwstr>
      </vt:variant>
      <vt:variant>
        <vt:i4>1048625</vt:i4>
      </vt:variant>
      <vt:variant>
        <vt:i4>107</vt:i4>
      </vt:variant>
      <vt:variant>
        <vt:i4>0</vt:i4>
      </vt:variant>
      <vt:variant>
        <vt:i4>5</vt:i4>
      </vt:variant>
      <vt:variant>
        <vt:lpwstr/>
      </vt:variant>
      <vt:variant>
        <vt:lpwstr>_Toc213724250</vt:lpwstr>
      </vt:variant>
      <vt:variant>
        <vt:i4>1114161</vt:i4>
      </vt:variant>
      <vt:variant>
        <vt:i4>101</vt:i4>
      </vt:variant>
      <vt:variant>
        <vt:i4>0</vt:i4>
      </vt:variant>
      <vt:variant>
        <vt:i4>5</vt:i4>
      </vt:variant>
      <vt:variant>
        <vt:lpwstr/>
      </vt:variant>
      <vt:variant>
        <vt:lpwstr>_Toc213724249</vt:lpwstr>
      </vt:variant>
      <vt:variant>
        <vt:i4>1114161</vt:i4>
      </vt:variant>
      <vt:variant>
        <vt:i4>95</vt:i4>
      </vt:variant>
      <vt:variant>
        <vt:i4>0</vt:i4>
      </vt:variant>
      <vt:variant>
        <vt:i4>5</vt:i4>
      </vt:variant>
      <vt:variant>
        <vt:lpwstr/>
      </vt:variant>
      <vt:variant>
        <vt:lpwstr>_Toc213724248</vt:lpwstr>
      </vt:variant>
      <vt:variant>
        <vt:i4>1114161</vt:i4>
      </vt:variant>
      <vt:variant>
        <vt:i4>89</vt:i4>
      </vt:variant>
      <vt:variant>
        <vt:i4>0</vt:i4>
      </vt:variant>
      <vt:variant>
        <vt:i4>5</vt:i4>
      </vt:variant>
      <vt:variant>
        <vt:lpwstr/>
      </vt:variant>
      <vt:variant>
        <vt:lpwstr>_Toc213724247</vt:lpwstr>
      </vt:variant>
      <vt:variant>
        <vt:i4>1114161</vt:i4>
      </vt:variant>
      <vt:variant>
        <vt:i4>83</vt:i4>
      </vt:variant>
      <vt:variant>
        <vt:i4>0</vt:i4>
      </vt:variant>
      <vt:variant>
        <vt:i4>5</vt:i4>
      </vt:variant>
      <vt:variant>
        <vt:lpwstr/>
      </vt:variant>
      <vt:variant>
        <vt:lpwstr>_Toc213724246</vt:lpwstr>
      </vt:variant>
      <vt:variant>
        <vt:i4>1114161</vt:i4>
      </vt:variant>
      <vt:variant>
        <vt:i4>77</vt:i4>
      </vt:variant>
      <vt:variant>
        <vt:i4>0</vt:i4>
      </vt:variant>
      <vt:variant>
        <vt:i4>5</vt:i4>
      </vt:variant>
      <vt:variant>
        <vt:lpwstr/>
      </vt:variant>
      <vt:variant>
        <vt:lpwstr>_Toc213724245</vt:lpwstr>
      </vt:variant>
      <vt:variant>
        <vt:i4>1114161</vt:i4>
      </vt:variant>
      <vt:variant>
        <vt:i4>71</vt:i4>
      </vt:variant>
      <vt:variant>
        <vt:i4>0</vt:i4>
      </vt:variant>
      <vt:variant>
        <vt:i4>5</vt:i4>
      </vt:variant>
      <vt:variant>
        <vt:lpwstr/>
      </vt:variant>
      <vt:variant>
        <vt:lpwstr>_Toc213724244</vt:lpwstr>
      </vt:variant>
      <vt:variant>
        <vt:i4>1114161</vt:i4>
      </vt:variant>
      <vt:variant>
        <vt:i4>65</vt:i4>
      </vt:variant>
      <vt:variant>
        <vt:i4>0</vt:i4>
      </vt:variant>
      <vt:variant>
        <vt:i4>5</vt:i4>
      </vt:variant>
      <vt:variant>
        <vt:lpwstr/>
      </vt:variant>
      <vt:variant>
        <vt:lpwstr>_Toc213724243</vt:lpwstr>
      </vt:variant>
      <vt:variant>
        <vt:i4>1114161</vt:i4>
      </vt:variant>
      <vt:variant>
        <vt:i4>59</vt:i4>
      </vt:variant>
      <vt:variant>
        <vt:i4>0</vt:i4>
      </vt:variant>
      <vt:variant>
        <vt:i4>5</vt:i4>
      </vt:variant>
      <vt:variant>
        <vt:lpwstr/>
      </vt:variant>
      <vt:variant>
        <vt:lpwstr>_Toc213724242</vt:lpwstr>
      </vt:variant>
      <vt:variant>
        <vt:i4>1114161</vt:i4>
      </vt:variant>
      <vt:variant>
        <vt:i4>53</vt:i4>
      </vt:variant>
      <vt:variant>
        <vt:i4>0</vt:i4>
      </vt:variant>
      <vt:variant>
        <vt:i4>5</vt:i4>
      </vt:variant>
      <vt:variant>
        <vt:lpwstr/>
      </vt:variant>
      <vt:variant>
        <vt:lpwstr>_Toc213724241</vt:lpwstr>
      </vt:variant>
      <vt:variant>
        <vt:i4>1114161</vt:i4>
      </vt:variant>
      <vt:variant>
        <vt:i4>47</vt:i4>
      </vt:variant>
      <vt:variant>
        <vt:i4>0</vt:i4>
      </vt:variant>
      <vt:variant>
        <vt:i4>5</vt:i4>
      </vt:variant>
      <vt:variant>
        <vt:lpwstr/>
      </vt:variant>
      <vt:variant>
        <vt:lpwstr>_Toc213724240</vt:lpwstr>
      </vt:variant>
      <vt:variant>
        <vt:i4>1441841</vt:i4>
      </vt:variant>
      <vt:variant>
        <vt:i4>41</vt:i4>
      </vt:variant>
      <vt:variant>
        <vt:i4>0</vt:i4>
      </vt:variant>
      <vt:variant>
        <vt:i4>5</vt:i4>
      </vt:variant>
      <vt:variant>
        <vt:lpwstr/>
      </vt:variant>
      <vt:variant>
        <vt:lpwstr>_Toc213724239</vt:lpwstr>
      </vt:variant>
      <vt:variant>
        <vt:i4>1441841</vt:i4>
      </vt:variant>
      <vt:variant>
        <vt:i4>35</vt:i4>
      </vt:variant>
      <vt:variant>
        <vt:i4>0</vt:i4>
      </vt:variant>
      <vt:variant>
        <vt:i4>5</vt:i4>
      </vt:variant>
      <vt:variant>
        <vt:lpwstr/>
      </vt:variant>
      <vt:variant>
        <vt:lpwstr>_Toc213724238</vt:lpwstr>
      </vt:variant>
      <vt:variant>
        <vt:i4>1441841</vt:i4>
      </vt:variant>
      <vt:variant>
        <vt:i4>29</vt:i4>
      </vt:variant>
      <vt:variant>
        <vt:i4>0</vt:i4>
      </vt:variant>
      <vt:variant>
        <vt:i4>5</vt:i4>
      </vt:variant>
      <vt:variant>
        <vt:lpwstr/>
      </vt:variant>
      <vt:variant>
        <vt:lpwstr>_Toc213724237</vt:lpwstr>
      </vt:variant>
      <vt:variant>
        <vt:i4>1441841</vt:i4>
      </vt:variant>
      <vt:variant>
        <vt:i4>23</vt:i4>
      </vt:variant>
      <vt:variant>
        <vt:i4>0</vt:i4>
      </vt:variant>
      <vt:variant>
        <vt:i4>5</vt:i4>
      </vt:variant>
      <vt:variant>
        <vt:lpwstr/>
      </vt:variant>
      <vt:variant>
        <vt:lpwstr>_Toc213724236</vt:lpwstr>
      </vt:variant>
      <vt:variant>
        <vt:i4>1441841</vt:i4>
      </vt:variant>
      <vt:variant>
        <vt:i4>17</vt:i4>
      </vt:variant>
      <vt:variant>
        <vt:i4>0</vt:i4>
      </vt:variant>
      <vt:variant>
        <vt:i4>5</vt:i4>
      </vt:variant>
      <vt:variant>
        <vt:lpwstr/>
      </vt:variant>
      <vt:variant>
        <vt:lpwstr>_Toc213724235</vt:lpwstr>
      </vt:variant>
      <vt:variant>
        <vt:i4>1441841</vt:i4>
      </vt:variant>
      <vt:variant>
        <vt:i4>11</vt:i4>
      </vt:variant>
      <vt:variant>
        <vt:i4>0</vt:i4>
      </vt:variant>
      <vt:variant>
        <vt:i4>5</vt:i4>
      </vt:variant>
      <vt:variant>
        <vt:lpwstr/>
      </vt:variant>
      <vt:variant>
        <vt:lpwstr>_Toc213724234</vt:lpwstr>
      </vt:variant>
      <vt:variant>
        <vt:i4>1441841</vt:i4>
      </vt:variant>
      <vt:variant>
        <vt:i4>5</vt:i4>
      </vt:variant>
      <vt:variant>
        <vt:i4>0</vt:i4>
      </vt:variant>
      <vt:variant>
        <vt:i4>5</vt:i4>
      </vt:variant>
      <vt:variant>
        <vt:lpwstr/>
      </vt:variant>
      <vt:variant>
        <vt:lpwstr>_Toc213724233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分类号                                                         密级</dc:title>
  <dc:creator>a</dc:creator>
  <cp:lastModifiedBy>ad min</cp:lastModifiedBy>
  <cp:revision>7</cp:revision>
  <cp:lastPrinted>2008-10-06T01:47:00Z</cp:lastPrinted>
  <dcterms:created xsi:type="dcterms:W3CDTF">2024-08-23T05:50:00Z</dcterms:created>
  <dcterms:modified xsi:type="dcterms:W3CDTF">2026-10-20T01:07:00Z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